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8A" w:rsidRDefault="00D40C52" w:rsidP="00017677">
      <w:pPr>
        <w:jc w:val="center"/>
        <w:rPr>
          <w:b/>
          <w:sz w:val="24"/>
          <w:szCs w:val="24"/>
          <w:u w:val="single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drawing>
          <wp:inline distT="0" distB="0" distL="0" distR="0" wp14:anchorId="589E1613" wp14:editId="43C1B623">
            <wp:extent cx="2908300" cy="1025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P-Logo-Horizontal resiz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02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B8A" w:rsidRDefault="00323B8A" w:rsidP="00017677">
      <w:pPr>
        <w:jc w:val="center"/>
        <w:rPr>
          <w:b/>
          <w:sz w:val="24"/>
          <w:szCs w:val="24"/>
          <w:u w:val="single"/>
        </w:rPr>
      </w:pPr>
    </w:p>
    <w:p w:rsidR="00323B8A" w:rsidRDefault="00323B8A" w:rsidP="00017677">
      <w:pPr>
        <w:jc w:val="center"/>
        <w:rPr>
          <w:b/>
          <w:sz w:val="24"/>
          <w:szCs w:val="24"/>
          <w:u w:val="single"/>
        </w:rPr>
      </w:pPr>
    </w:p>
    <w:p w:rsidR="008C18E1" w:rsidRPr="00017677" w:rsidRDefault="00383C5E" w:rsidP="0001767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CMHP ACCREDITATION STANDARDS AND CRITERIA</w:t>
      </w:r>
    </w:p>
    <w:p w:rsidR="008C18E1" w:rsidRPr="00194743" w:rsidRDefault="008C18E1">
      <w:pPr>
        <w:rPr>
          <w:sz w:val="24"/>
          <w:szCs w:val="24"/>
        </w:rPr>
      </w:pPr>
    </w:p>
    <w:p w:rsidR="008C18E1" w:rsidRPr="00017677" w:rsidRDefault="008C18E1">
      <w:pPr>
        <w:rPr>
          <w:b/>
          <w:sz w:val="24"/>
          <w:szCs w:val="24"/>
        </w:rPr>
      </w:pPr>
      <w:r w:rsidRPr="00017677">
        <w:rPr>
          <w:b/>
          <w:sz w:val="24"/>
          <w:szCs w:val="24"/>
        </w:rPr>
        <w:t>Introduction</w:t>
      </w:r>
    </w:p>
    <w:p w:rsidR="008C18E1" w:rsidRPr="00194743" w:rsidRDefault="008C18E1" w:rsidP="00194743">
      <w:pPr>
        <w:jc w:val="both"/>
        <w:rPr>
          <w:sz w:val="24"/>
          <w:szCs w:val="24"/>
        </w:rPr>
      </w:pPr>
    </w:p>
    <w:p w:rsidR="008C18E1" w:rsidRPr="00194743" w:rsidRDefault="008C18E1" w:rsidP="00194743">
      <w:pPr>
        <w:jc w:val="both"/>
        <w:rPr>
          <w:sz w:val="24"/>
          <w:szCs w:val="24"/>
        </w:rPr>
      </w:pPr>
      <w:r w:rsidRPr="00194743">
        <w:rPr>
          <w:sz w:val="24"/>
          <w:szCs w:val="24"/>
        </w:rPr>
        <w:t>The College of Mental Health Pharmacy (CMHP) has the overall objective of advancing education and research in the practice of mental health pharmacy.</w:t>
      </w:r>
    </w:p>
    <w:p w:rsidR="008C18E1" w:rsidRPr="00194743" w:rsidRDefault="008C18E1" w:rsidP="00194743">
      <w:pPr>
        <w:jc w:val="both"/>
        <w:rPr>
          <w:sz w:val="24"/>
          <w:szCs w:val="24"/>
        </w:rPr>
      </w:pPr>
    </w:p>
    <w:p w:rsidR="008C18E1" w:rsidRPr="00194743" w:rsidRDefault="008C18E1" w:rsidP="00194743">
      <w:pPr>
        <w:jc w:val="both"/>
        <w:rPr>
          <w:sz w:val="24"/>
          <w:szCs w:val="24"/>
        </w:rPr>
      </w:pPr>
      <w:r w:rsidRPr="00194743">
        <w:rPr>
          <w:sz w:val="24"/>
          <w:szCs w:val="24"/>
        </w:rPr>
        <w:t>Accreditation assesses the quality of the processes followed by a producer.  It does not accredit the content of individual products, but awards a seal of approval to show that they meet a defined set of accreditation criteria in processes used to develop their product.</w:t>
      </w:r>
    </w:p>
    <w:p w:rsidR="008C18E1" w:rsidRPr="00194743" w:rsidRDefault="008C18E1" w:rsidP="00194743">
      <w:pPr>
        <w:jc w:val="both"/>
        <w:rPr>
          <w:sz w:val="24"/>
          <w:szCs w:val="24"/>
        </w:rPr>
      </w:pPr>
    </w:p>
    <w:p w:rsidR="008C18E1" w:rsidRPr="00194743" w:rsidRDefault="008C18E1" w:rsidP="00194743">
      <w:pPr>
        <w:jc w:val="both"/>
        <w:rPr>
          <w:sz w:val="24"/>
          <w:szCs w:val="24"/>
        </w:rPr>
      </w:pPr>
      <w:r w:rsidRPr="00194743">
        <w:rPr>
          <w:sz w:val="24"/>
          <w:szCs w:val="24"/>
        </w:rPr>
        <w:t xml:space="preserve">There are three domains of product that the CMHP will consider for accreditation:  published material, events and </w:t>
      </w:r>
      <w:r w:rsidR="00017677">
        <w:rPr>
          <w:sz w:val="24"/>
          <w:szCs w:val="24"/>
        </w:rPr>
        <w:t>online programmes</w:t>
      </w:r>
      <w:r w:rsidRPr="00194743">
        <w:rPr>
          <w:sz w:val="24"/>
          <w:szCs w:val="24"/>
        </w:rPr>
        <w:t>.  These products should meet both the general standards and satisfy the criteria as specified for the appropriate domain.</w:t>
      </w:r>
    </w:p>
    <w:p w:rsidR="008C18E1" w:rsidRPr="00194743" w:rsidRDefault="008C18E1" w:rsidP="008C18E1">
      <w:pPr>
        <w:rPr>
          <w:sz w:val="24"/>
          <w:szCs w:val="24"/>
        </w:rPr>
      </w:pPr>
    </w:p>
    <w:p w:rsidR="008C18E1" w:rsidRPr="00017677" w:rsidRDefault="00194743" w:rsidP="008C18E1">
      <w:pPr>
        <w:rPr>
          <w:b/>
          <w:sz w:val="24"/>
          <w:szCs w:val="24"/>
        </w:rPr>
      </w:pPr>
      <w:r w:rsidRPr="00017677">
        <w:rPr>
          <w:b/>
          <w:sz w:val="24"/>
          <w:szCs w:val="24"/>
        </w:rPr>
        <w:t>General Stan</w:t>
      </w:r>
      <w:r w:rsidR="008C18E1" w:rsidRPr="00017677">
        <w:rPr>
          <w:b/>
          <w:sz w:val="24"/>
          <w:szCs w:val="24"/>
        </w:rPr>
        <w:t>dards</w:t>
      </w:r>
    </w:p>
    <w:p w:rsidR="008C18E1" w:rsidRPr="00194743" w:rsidRDefault="008C18E1" w:rsidP="008C18E1">
      <w:pPr>
        <w:rPr>
          <w:sz w:val="24"/>
          <w:szCs w:val="24"/>
        </w:rPr>
      </w:pPr>
    </w:p>
    <w:p w:rsidR="008C18E1" w:rsidRPr="00194743" w:rsidRDefault="008C18E1" w:rsidP="008C18E1">
      <w:pPr>
        <w:rPr>
          <w:sz w:val="24"/>
          <w:szCs w:val="24"/>
        </w:rPr>
      </w:pPr>
      <w:r w:rsidRPr="00194743">
        <w:rPr>
          <w:sz w:val="24"/>
          <w:szCs w:val="24"/>
        </w:rPr>
        <w:t>All material submitted for accreditation:</w:t>
      </w:r>
    </w:p>
    <w:p w:rsidR="008C18E1" w:rsidRPr="00194743" w:rsidRDefault="008C18E1" w:rsidP="008C18E1">
      <w:pPr>
        <w:rPr>
          <w:sz w:val="24"/>
          <w:szCs w:val="24"/>
        </w:rPr>
      </w:pPr>
    </w:p>
    <w:p w:rsidR="008C18E1" w:rsidRPr="00194743" w:rsidRDefault="008C18E1" w:rsidP="001947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4743">
        <w:rPr>
          <w:sz w:val="24"/>
          <w:szCs w:val="24"/>
        </w:rPr>
        <w:t>Should be in a final draft form</w:t>
      </w:r>
    </w:p>
    <w:p w:rsidR="008C18E1" w:rsidRPr="00194743" w:rsidRDefault="00194743" w:rsidP="001947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Shoul</w:t>
      </w:r>
      <w:r w:rsidR="008C18E1" w:rsidRPr="00194743">
        <w:rPr>
          <w:sz w:val="24"/>
          <w:szCs w:val="24"/>
        </w:rPr>
        <w:t>d be aimed at a national audience and at a suitable level for that audience</w:t>
      </w:r>
    </w:p>
    <w:p w:rsidR="008C18E1" w:rsidRPr="00194743" w:rsidRDefault="008C18E1" w:rsidP="001947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4743">
        <w:rPr>
          <w:sz w:val="24"/>
          <w:szCs w:val="24"/>
        </w:rPr>
        <w:t>Have clear aims and learning outcomes</w:t>
      </w:r>
    </w:p>
    <w:p w:rsidR="008C18E1" w:rsidRPr="00194743" w:rsidRDefault="008C18E1" w:rsidP="001947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4743">
        <w:rPr>
          <w:sz w:val="24"/>
          <w:szCs w:val="24"/>
        </w:rPr>
        <w:t>Be fully referenced and make suitable acknowledgement of materials used</w:t>
      </w:r>
    </w:p>
    <w:p w:rsidR="008C18E1" w:rsidRPr="00194743" w:rsidRDefault="008C18E1" w:rsidP="001947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4743">
        <w:rPr>
          <w:sz w:val="24"/>
          <w:szCs w:val="24"/>
        </w:rPr>
        <w:t>Should not promote a single drug or product and be impartial</w:t>
      </w:r>
    </w:p>
    <w:p w:rsidR="008C18E1" w:rsidRPr="00194743" w:rsidRDefault="008C18E1" w:rsidP="001947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4743">
        <w:rPr>
          <w:sz w:val="24"/>
          <w:szCs w:val="24"/>
        </w:rPr>
        <w:t>Should clearly state if sponsorship has been obtained to develop the material</w:t>
      </w:r>
    </w:p>
    <w:p w:rsidR="008C18E1" w:rsidRPr="00194743" w:rsidRDefault="008C18E1" w:rsidP="001947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4743">
        <w:rPr>
          <w:sz w:val="24"/>
          <w:szCs w:val="24"/>
        </w:rPr>
        <w:t>Should</w:t>
      </w:r>
      <w:r w:rsidR="00397B84" w:rsidRPr="00194743">
        <w:rPr>
          <w:sz w:val="24"/>
          <w:szCs w:val="24"/>
        </w:rPr>
        <w:t xml:space="preserve"> declare if other organisation</w:t>
      </w:r>
      <w:r w:rsidR="00194743">
        <w:rPr>
          <w:sz w:val="24"/>
          <w:szCs w:val="24"/>
        </w:rPr>
        <w:t>s have been approached for ac</w:t>
      </w:r>
      <w:r w:rsidR="00397B84" w:rsidRPr="00194743">
        <w:rPr>
          <w:sz w:val="24"/>
          <w:szCs w:val="24"/>
        </w:rPr>
        <w:t>creditation, and what this accreditation involves</w:t>
      </w:r>
    </w:p>
    <w:p w:rsidR="00397B84" w:rsidRPr="00194743" w:rsidRDefault="00397B84" w:rsidP="001947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4743">
        <w:rPr>
          <w:sz w:val="24"/>
          <w:szCs w:val="24"/>
        </w:rPr>
        <w:t>Should be submitted at least 4-6 weeks prior to the date the document is scheduled for printing.</w:t>
      </w:r>
    </w:p>
    <w:p w:rsidR="00397B84" w:rsidRDefault="00397B84" w:rsidP="001947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4743">
        <w:rPr>
          <w:sz w:val="24"/>
          <w:szCs w:val="24"/>
        </w:rPr>
        <w:t>Once the application has been accepted as suitable for accreditation, you may state “CMHP Accreditation is sought” as part of the promotional materials.</w:t>
      </w:r>
    </w:p>
    <w:p w:rsidR="00194743" w:rsidRDefault="00194743" w:rsidP="00194743">
      <w:pPr>
        <w:jc w:val="both"/>
        <w:rPr>
          <w:sz w:val="24"/>
          <w:szCs w:val="24"/>
        </w:rPr>
      </w:pPr>
    </w:p>
    <w:p w:rsidR="00194743" w:rsidRDefault="00194743" w:rsidP="00194743">
      <w:pPr>
        <w:jc w:val="both"/>
        <w:rPr>
          <w:sz w:val="24"/>
          <w:szCs w:val="24"/>
        </w:rPr>
      </w:pPr>
    </w:p>
    <w:p w:rsidR="00323B8A" w:rsidRDefault="00323B8A" w:rsidP="00194743">
      <w:pPr>
        <w:jc w:val="both"/>
        <w:rPr>
          <w:b/>
          <w:sz w:val="24"/>
          <w:szCs w:val="24"/>
        </w:rPr>
      </w:pPr>
    </w:p>
    <w:p w:rsidR="00323B8A" w:rsidRDefault="00323B8A" w:rsidP="00194743">
      <w:pPr>
        <w:jc w:val="both"/>
        <w:rPr>
          <w:b/>
          <w:sz w:val="24"/>
          <w:szCs w:val="24"/>
        </w:rPr>
      </w:pPr>
    </w:p>
    <w:p w:rsidR="00323B8A" w:rsidRDefault="00323B8A" w:rsidP="00194743">
      <w:pPr>
        <w:jc w:val="both"/>
        <w:rPr>
          <w:b/>
          <w:sz w:val="24"/>
          <w:szCs w:val="24"/>
        </w:rPr>
      </w:pPr>
    </w:p>
    <w:p w:rsidR="00323B8A" w:rsidRDefault="00323B8A" w:rsidP="00194743">
      <w:pPr>
        <w:jc w:val="both"/>
        <w:rPr>
          <w:b/>
          <w:sz w:val="24"/>
          <w:szCs w:val="24"/>
        </w:rPr>
      </w:pPr>
    </w:p>
    <w:p w:rsidR="000F513B" w:rsidRPr="00383C5E" w:rsidRDefault="00383C5E" w:rsidP="00194743">
      <w:pPr>
        <w:jc w:val="both"/>
        <w:rPr>
          <w:b/>
          <w:sz w:val="24"/>
          <w:szCs w:val="24"/>
        </w:rPr>
      </w:pPr>
      <w:r w:rsidRPr="00383C5E">
        <w:rPr>
          <w:b/>
          <w:sz w:val="24"/>
          <w:szCs w:val="24"/>
        </w:rPr>
        <w:t>Acknowledgements</w:t>
      </w:r>
    </w:p>
    <w:p w:rsidR="00383C5E" w:rsidRDefault="00383C5E" w:rsidP="00194743">
      <w:pPr>
        <w:jc w:val="both"/>
        <w:rPr>
          <w:sz w:val="24"/>
          <w:szCs w:val="24"/>
        </w:rPr>
      </w:pPr>
    </w:p>
    <w:p w:rsidR="00383C5E" w:rsidRDefault="00383C5E" w:rsidP="00194743">
      <w:pPr>
        <w:jc w:val="both"/>
        <w:rPr>
          <w:sz w:val="24"/>
          <w:szCs w:val="24"/>
        </w:rPr>
      </w:pPr>
      <w:r>
        <w:rPr>
          <w:sz w:val="24"/>
          <w:szCs w:val="24"/>
        </w:rPr>
        <w:t>These standards have been developed using the RCN Quality Assurance Standards for Development of RCN accredited Programmes and from the RPS Standards and Criteria for Accreditation.</w:t>
      </w:r>
    </w:p>
    <w:p w:rsidR="000F513B" w:rsidRDefault="000F513B" w:rsidP="00194743">
      <w:pPr>
        <w:jc w:val="both"/>
        <w:rPr>
          <w:sz w:val="24"/>
          <w:szCs w:val="24"/>
        </w:rPr>
      </w:pPr>
    </w:p>
    <w:p w:rsidR="000F513B" w:rsidRDefault="000F513B" w:rsidP="00194743">
      <w:pPr>
        <w:jc w:val="both"/>
        <w:rPr>
          <w:sz w:val="24"/>
          <w:szCs w:val="24"/>
        </w:rPr>
      </w:pPr>
    </w:p>
    <w:p w:rsidR="000F513B" w:rsidRDefault="000F513B" w:rsidP="00194743">
      <w:pPr>
        <w:jc w:val="both"/>
        <w:rPr>
          <w:sz w:val="24"/>
          <w:szCs w:val="24"/>
        </w:rPr>
      </w:pPr>
    </w:p>
    <w:p w:rsidR="000F513B" w:rsidRDefault="000F513B" w:rsidP="00194743">
      <w:pPr>
        <w:jc w:val="both"/>
        <w:rPr>
          <w:sz w:val="24"/>
          <w:szCs w:val="24"/>
        </w:rPr>
      </w:pPr>
    </w:p>
    <w:p w:rsidR="000F513B" w:rsidRDefault="000F513B" w:rsidP="00194743">
      <w:pPr>
        <w:jc w:val="both"/>
        <w:rPr>
          <w:sz w:val="24"/>
          <w:szCs w:val="24"/>
        </w:rPr>
      </w:pPr>
    </w:p>
    <w:p w:rsidR="001338D1" w:rsidRDefault="001338D1" w:rsidP="00194743">
      <w:pPr>
        <w:jc w:val="both"/>
        <w:rPr>
          <w:sz w:val="24"/>
          <w:szCs w:val="24"/>
        </w:rPr>
      </w:pPr>
    </w:p>
    <w:p w:rsidR="00194743" w:rsidRPr="00017677" w:rsidRDefault="00194743" w:rsidP="00194743">
      <w:pPr>
        <w:jc w:val="both"/>
        <w:rPr>
          <w:b/>
          <w:sz w:val="24"/>
          <w:szCs w:val="24"/>
          <w:u w:val="single"/>
        </w:rPr>
      </w:pPr>
      <w:r w:rsidRPr="00017677">
        <w:rPr>
          <w:b/>
          <w:sz w:val="24"/>
          <w:szCs w:val="24"/>
          <w:u w:val="single"/>
        </w:rPr>
        <w:t>CRITERIA</w:t>
      </w:r>
    </w:p>
    <w:p w:rsidR="00194743" w:rsidRDefault="00194743" w:rsidP="00194743">
      <w:pPr>
        <w:jc w:val="both"/>
        <w:rPr>
          <w:sz w:val="24"/>
          <w:szCs w:val="24"/>
        </w:rPr>
      </w:pPr>
    </w:p>
    <w:p w:rsidR="00017677" w:rsidRPr="00017677" w:rsidRDefault="00194743" w:rsidP="00194743">
      <w:pPr>
        <w:jc w:val="both"/>
        <w:rPr>
          <w:b/>
          <w:sz w:val="24"/>
          <w:szCs w:val="24"/>
        </w:rPr>
      </w:pPr>
      <w:r w:rsidRPr="00017677">
        <w:rPr>
          <w:b/>
          <w:sz w:val="24"/>
          <w:szCs w:val="24"/>
        </w:rPr>
        <w:t>Domain 1: Published Materials</w:t>
      </w:r>
    </w:p>
    <w:p w:rsidR="00194743" w:rsidRDefault="00194743" w:rsidP="00194743">
      <w:pPr>
        <w:jc w:val="both"/>
        <w:rPr>
          <w:sz w:val="24"/>
          <w:szCs w:val="2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194743" w:rsidRPr="00642D93" w:rsidTr="00642D93">
        <w:tc>
          <w:tcPr>
            <w:tcW w:w="2802" w:type="dxa"/>
            <w:shd w:val="clear" w:color="auto" w:fill="4F81BD" w:themeFill="accent1"/>
          </w:tcPr>
          <w:p w:rsidR="00194743" w:rsidRPr="00642D93" w:rsidRDefault="00194743" w:rsidP="00831741">
            <w:pPr>
              <w:pStyle w:val="ListParagraph"/>
              <w:ind w:left="360"/>
              <w:jc w:val="both"/>
              <w:rPr>
                <w:b/>
                <w:bCs/>
                <w:color w:val="000000" w:themeColor="text1" w:themeShade="BF"/>
                <w:sz w:val="24"/>
                <w:szCs w:val="24"/>
              </w:rPr>
            </w:pPr>
            <w:r w:rsidRPr="00642D93">
              <w:rPr>
                <w:b/>
                <w:bCs/>
                <w:color w:val="000000" w:themeColor="text1" w:themeShade="BF"/>
                <w:sz w:val="24"/>
                <w:szCs w:val="24"/>
              </w:rPr>
              <w:t>Standard Statement</w:t>
            </w:r>
          </w:p>
        </w:tc>
        <w:tc>
          <w:tcPr>
            <w:tcW w:w="6095" w:type="dxa"/>
            <w:shd w:val="clear" w:color="auto" w:fill="4F81BD" w:themeFill="accent1"/>
          </w:tcPr>
          <w:p w:rsidR="00194743" w:rsidRPr="00642D93" w:rsidRDefault="00194743" w:rsidP="008D28F2">
            <w:pPr>
              <w:ind w:left="414" w:hanging="283"/>
              <w:jc w:val="both"/>
              <w:rPr>
                <w:b/>
                <w:sz w:val="24"/>
                <w:szCs w:val="24"/>
              </w:rPr>
            </w:pPr>
            <w:r w:rsidRPr="00642D93">
              <w:rPr>
                <w:b/>
                <w:sz w:val="24"/>
                <w:szCs w:val="24"/>
              </w:rPr>
              <w:t>Criteria</w:t>
            </w:r>
          </w:p>
        </w:tc>
      </w:tr>
      <w:tr w:rsidR="00194743" w:rsidRPr="00277A8E" w:rsidTr="00642D93">
        <w:tc>
          <w:tcPr>
            <w:tcW w:w="2802" w:type="dxa"/>
            <w:shd w:val="clear" w:color="auto" w:fill="B8CCE4" w:themeFill="accent1" w:themeFillTint="66"/>
          </w:tcPr>
          <w:p w:rsidR="008D28F2" w:rsidRPr="00831741" w:rsidRDefault="008D28F2" w:rsidP="00831741">
            <w:pPr>
              <w:pStyle w:val="ListParagraph"/>
              <w:ind w:left="360"/>
              <w:jc w:val="both"/>
              <w:rPr>
                <w:b/>
                <w:bCs/>
                <w:color w:val="000000" w:themeColor="text1" w:themeShade="BF"/>
              </w:rPr>
            </w:pPr>
          </w:p>
          <w:p w:rsidR="00194743" w:rsidRPr="008D28F2" w:rsidRDefault="00642D93" w:rsidP="00831741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  <w:color w:val="000000" w:themeColor="text1" w:themeShade="BF"/>
              </w:rPr>
            </w:pPr>
            <w:r>
              <w:t>M</w:t>
            </w:r>
            <w:r w:rsidR="00194743" w:rsidRPr="008D28F2">
              <w:rPr>
                <w:b/>
                <w:bCs/>
                <w:color w:val="000000" w:themeColor="text1" w:themeShade="BF"/>
              </w:rPr>
              <w:t>aterials are consistent with the CMHP charitable aim and its strategy aims</w:t>
            </w:r>
          </w:p>
        </w:tc>
        <w:tc>
          <w:tcPr>
            <w:tcW w:w="6095" w:type="dxa"/>
          </w:tcPr>
          <w:p w:rsidR="008D28F2" w:rsidRPr="008D28F2" w:rsidRDefault="008D28F2" w:rsidP="008D28F2">
            <w:pPr>
              <w:pStyle w:val="ListParagraph"/>
              <w:ind w:left="414"/>
              <w:jc w:val="both"/>
            </w:pPr>
          </w:p>
          <w:p w:rsidR="000F513B" w:rsidRPr="00277A8E" w:rsidRDefault="00194743" w:rsidP="008D28F2">
            <w:pPr>
              <w:pStyle w:val="ListParagraph"/>
              <w:numPr>
                <w:ilvl w:val="1"/>
                <w:numId w:val="10"/>
              </w:numPr>
              <w:ind w:left="414"/>
              <w:jc w:val="both"/>
            </w:pPr>
            <w:r w:rsidRPr="00277A8E">
              <w:rPr>
                <w:bCs/>
                <w:color w:val="000000" w:themeColor="text1" w:themeShade="BF"/>
              </w:rPr>
              <w:t>To advance education in the practice of mental health pharmacy and to promote and disseminate research for the public benefit, in all aspects of that subject</w:t>
            </w:r>
          </w:p>
          <w:p w:rsidR="000F513B" w:rsidRPr="00277A8E" w:rsidRDefault="000F513B" w:rsidP="008D28F2">
            <w:pPr>
              <w:pStyle w:val="ListParagraph"/>
              <w:ind w:left="414" w:hanging="283"/>
              <w:jc w:val="both"/>
            </w:pPr>
          </w:p>
          <w:p w:rsidR="000F513B" w:rsidRPr="00277A8E" w:rsidRDefault="000F513B" w:rsidP="008D28F2">
            <w:pPr>
              <w:pStyle w:val="ListParagraph"/>
              <w:numPr>
                <w:ilvl w:val="1"/>
                <w:numId w:val="10"/>
              </w:numPr>
              <w:ind w:left="414"/>
              <w:jc w:val="both"/>
              <w:rPr>
                <w:rFonts w:cs="Arial"/>
              </w:rPr>
            </w:pPr>
            <w:r w:rsidRPr="00277A8E">
              <w:rPr>
                <w:rFonts w:cs="Arial"/>
                <w:color w:val="000000" w:themeColor="text1" w:themeShade="BF"/>
              </w:rPr>
              <w:t xml:space="preserve">To support, develop and encourage the safe, effective and economical use of medicines for people with mental health problems. </w:t>
            </w:r>
          </w:p>
          <w:p w:rsidR="000F513B" w:rsidRPr="00277A8E" w:rsidRDefault="000F513B" w:rsidP="008D28F2">
            <w:pPr>
              <w:ind w:left="414" w:hanging="283"/>
              <w:jc w:val="both"/>
              <w:rPr>
                <w:rFonts w:cs="Arial"/>
                <w:color w:val="000000" w:themeColor="text1" w:themeShade="BF"/>
              </w:rPr>
            </w:pPr>
          </w:p>
          <w:p w:rsidR="000F513B" w:rsidRPr="00277A8E" w:rsidRDefault="000F513B" w:rsidP="008D28F2">
            <w:pPr>
              <w:pStyle w:val="ListParagraph"/>
              <w:numPr>
                <w:ilvl w:val="1"/>
                <w:numId w:val="10"/>
              </w:numPr>
              <w:ind w:left="414"/>
              <w:jc w:val="both"/>
              <w:rPr>
                <w:rFonts w:cs="Arial"/>
              </w:rPr>
            </w:pPr>
            <w:r w:rsidRPr="00277A8E">
              <w:rPr>
                <w:rFonts w:cs="Arial"/>
                <w:color w:val="000000" w:themeColor="text1" w:themeShade="BF"/>
              </w:rPr>
              <w:t>To ensure the sharin</w:t>
            </w:r>
            <w:r w:rsidRPr="00277A8E">
              <w:rPr>
                <w:rFonts w:cs="Arial"/>
              </w:rPr>
              <w:t>g of good practice and learning in mental health pharmacy</w:t>
            </w:r>
          </w:p>
          <w:p w:rsidR="000F513B" w:rsidRPr="00277A8E" w:rsidRDefault="000F513B" w:rsidP="008D28F2">
            <w:pPr>
              <w:pStyle w:val="ListParagraph"/>
              <w:ind w:left="414" w:hanging="283"/>
              <w:jc w:val="both"/>
              <w:rPr>
                <w:rFonts w:cs="Arial"/>
              </w:rPr>
            </w:pPr>
          </w:p>
          <w:p w:rsidR="000F513B" w:rsidRPr="00277A8E" w:rsidRDefault="000F513B" w:rsidP="008D28F2">
            <w:pPr>
              <w:pStyle w:val="ListParagraph"/>
              <w:ind w:left="414" w:hanging="283"/>
              <w:jc w:val="both"/>
              <w:rPr>
                <w:rFonts w:cs="Arial"/>
                <w:color w:val="000000" w:themeColor="text1" w:themeShade="BF"/>
              </w:rPr>
            </w:pPr>
          </w:p>
        </w:tc>
      </w:tr>
      <w:tr w:rsidR="00194743" w:rsidRPr="00277A8E" w:rsidTr="00642D93">
        <w:trPr>
          <w:trHeight w:val="4625"/>
        </w:trPr>
        <w:tc>
          <w:tcPr>
            <w:tcW w:w="2802" w:type="dxa"/>
            <w:shd w:val="clear" w:color="auto" w:fill="B8CCE4" w:themeFill="accent1" w:themeFillTint="66"/>
          </w:tcPr>
          <w:p w:rsidR="008D28F2" w:rsidRPr="00831741" w:rsidRDefault="008D28F2" w:rsidP="00831741">
            <w:pPr>
              <w:pStyle w:val="ListParagraph"/>
              <w:ind w:left="360"/>
              <w:jc w:val="both"/>
              <w:rPr>
                <w:b/>
                <w:bCs/>
                <w:color w:val="000000" w:themeColor="text1" w:themeShade="BF"/>
              </w:rPr>
            </w:pPr>
          </w:p>
          <w:p w:rsidR="00194743" w:rsidRPr="00774C25" w:rsidRDefault="00642D93" w:rsidP="00831741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  <w:color w:val="000000" w:themeColor="text1" w:themeShade="BF"/>
              </w:rPr>
            </w:pPr>
            <w:r w:rsidRPr="00774C25">
              <w:rPr>
                <w:b/>
              </w:rPr>
              <w:t>M</w:t>
            </w:r>
            <w:r w:rsidR="000F513B" w:rsidRPr="00774C25">
              <w:rPr>
                <w:b/>
                <w:bCs/>
                <w:color w:val="000000" w:themeColor="text1" w:themeShade="BF"/>
              </w:rPr>
              <w:t xml:space="preserve">aterials are consistent with </w:t>
            </w:r>
            <w:r w:rsidRPr="00774C25">
              <w:rPr>
                <w:b/>
              </w:rPr>
              <w:t>the Professional Standards of P</w:t>
            </w:r>
            <w:r w:rsidR="000F513B" w:rsidRPr="00774C25">
              <w:rPr>
                <w:b/>
                <w:bCs/>
                <w:color w:val="000000" w:themeColor="text1" w:themeShade="BF"/>
              </w:rPr>
              <w:t>harmacy</w:t>
            </w:r>
          </w:p>
        </w:tc>
        <w:tc>
          <w:tcPr>
            <w:tcW w:w="6095" w:type="dxa"/>
          </w:tcPr>
          <w:p w:rsidR="00277A8E" w:rsidRPr="00277A8E" w:rsidRDefault="00277A8E" w:rsidP="008D28F2">
            <w:pPr>
              <w:pStyle w:val="Default"/>
              <w:ind w:left="414"/>
              <w:rPr>
                <w:color w:val="auto"/>
                <w:sz w:val="18"/>
                <w:szCs w:val="18"/>
              </w:rPr>
            </w:pPr>
          </w:p>
          <w:p w:rsidR="008D28F2" w:rsidRPr="008D28F2" w:rsidRDefault="00277A8E" w:rsidP="008D28F2">
            <w:pPr>
              <w:pStyle w:val="Default"/>
              <w:numPr>
                <w:ilvl w:val="1"/>
                <w:numId w:val="11"/>
              </w:numPr>
              <w:ind w:left="414"/>
              <w:rPr>
                <w:color w:val="auto"/>
                <w:sz w:val="18"/>
                <w:szCs w:val="18"/>
              </w:rPr>
            </w:pPr>
            <w:r w:rsidRPr="00277A8E">
              <w:rPr>
                <w:sz w:val="18"/>
                <w:szCs w:val="18"/>
              </w:rPr>
              <w:t xml:space="preserve">The content has direct relevance to mental health pharmacy and fits with the national pharmacy policy and development in UK Four Countries; including government, regulators and professional </w:t>
            </w:r>
            <w:r w:rsidR="008D28F2">
              <w:rPr>
                <w:sz w:val="18"/>
                <w:szCs w:val="18"/>
              </w:rPr>
              <w:t>pharmacy</w:t>
            </w:r>
            <w:r w:rsidRPr="00277A8E">
              <w:rPr>
                <w:sz w:val="18"/>
                <w:szCs w:val="18"/>
              </w:rPr>
              <w:t xml:space="preserve"> bodies</w:t>
            </w:r>
          </w:p>
          <w:p w:rsidR="00277A8E" w:rsidRPr="00277A8E" w:rsidRDefault="00277A8E" w:rsidP="008D28F2">
            <w:pPr>
              <w:pStyle w:val="Default"/>
              <w:ind w:left="414" w:firstLine="30"/>
              <w:rPr>
                <w:color w:val="auto"/>
                <w:sz w:val="18"/>
                <w:szCs w:val="18"/>
              </w:rPr>
            </w:pPr>
          </w:p>
          <w:p w:rsidR="008D28F2" w:rsidRDefault="00277A8E" w:rsidP="008D28F2">
            <w:pPr>
              <w:pStyle w:val="Default"/>
              <w:numPr>
                <w:ilvl w:val="1"/>
                <w:numId w:val="11"/>
              </w:numPr>
              <w:ind w:left="414"/>
              <w:rPr>
                <w:sz w:val="18"/>
                <w:szCs w:val="18"/>
              </w:rPr>
            </w:pPr>
            <w:r w:rsidRPr="00277A8E">
              <w:rPr>
                <w:sz w:val="18"/>
                <w:szCs w:val="18"/>
              </w:rPr>
              <w:t xml:space="preserve">Content of the </w:t>
            </w:r>
            <w:r>
              <w:rPr>
                <w:sz w:val="18"/>
                <w:szCs w:val="18"/>
              </w:rPr>
              <w:t>materials are</w:t>
            </w:r>
            <w:r w:rsidRPr="00277A8E">
              <w:rPr>
                <w:sz w:val="18"/>
                <w:szCs w:val="18"/>
              </w:rPr>
              <w:t xml:space="preserve"> of direct relevance to </w:t>
            </w:r>
            <w:r>
              <w:rPr>
                <w:sz w:val="18"/>
                <w:szCs w:val="18"/>
              </w:rPr>
              <w:t xml:space="preserve">pharmacy and fits with national pharmacy </w:t>
            </w:r>
            <w:r w:rsidRPr="00277A8E">
              <w:rPr>
                <w:sz w:val="18"/>
                <w:szCs w:val="18"/>
              </w:rPr>
              <w:t xml:space="preserve">policy and development in Europe/Internationally; including government, regulators and professional </w:t>
            </w:r>
            <w:r w:rsidR="008D28F2">
              <w:rPr>
                <w:sz w:val="18"/>
                <w:szCs w:val="18"/>
              </w:rPr>
              <w:t>pharmacy</w:t>
            </w:r>
            <w:r w:rsidRPr="00277A8E">
              <w:rPr>
                <w:sz w:val="18"/>
                <w:szCs w:val="18"/>
              </w:rPr>
              <w:t xml:space="preserve"> bodies</w:t>
            </w:r>
          </w:p>
          <w:p w:rsidR="00277A8E" w:rsidRPr="00277A8E" w:rsidRDefault="00277A8E" w:rsidP="008D28F2">
            <w:pPr>
              <w:pStyle w:val="Default"/>
              <w:ind w:left="414" w:firstLine="30"/>
              <w:rPr>
                <w:sz w:val="18"/>
                <w:szCs w:val="18"/>
              </w:rPr>
            </w:pPr>
          </w:p>
          <w:p w:rsidR="008D28F2" w:rsidRDefault="00277A8E" w:rsidP="008D28F2">
            <w:pPr>
              <w:pStyle w:val="Default"/>
              <w:numPr>
                <w:ilvl w:val="1"/>
                <w:numId w:val="11"/>
              </w:numPr>
              <w:ind w:left="4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content is consistent with the standards of conduct, ethics and performance set out by the General Pharmaceutical Council.</w:t>
            </w:r>
          </w:p>
          <w:p w:rsidR="008D28F2" w:rsidRDefault="008D28F2" w:rsidP="008D28F2">
            <w:pPr>
              <w:pStyle w:val="Default"/>
              <w:ind w:left="414"/>
              <w:rPr>
                <w:sz w:val="18"/>
                <w:szCs w:val="18"/>
              </w:rPr>
            </w:pPr>
          </w:p>
          <w:p w:rsidR="008D28F2" w:rsidRDefault="008D28F2" w:rsidP="008D28F2">
            <w:pPr>
              <w:pStyle w:val="Default"/>
              <w:numPr>
                <w:ilvl w:val="1"/>
                <w:numId w:val="11"/>
              </w:numPr>
              <w:ind w:left="4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  <w:r w:rsidR="00277A8E" w:rsidRPr="008D28F2">
              <w:rPr>
                <w:sz w:val="18"/>
                <w:szCs w:val="18"/>
              </w:rPr>
              <w:t xml:space="preserve"> adhere to the Association of British Pharmaceutical Industries (ABPI) Code of Practice (2008) and the Association of British Healthcare Industries (ABHI) C</w:t>
            </w:r>
            <w:r>
              <w:rPr>
                <w:sz w:val="18"/>
                <w:szCs w:val="18"/>
              </w:rPr>
              <w:t>ode of Business Practice (2012)</w:t>
            </w:r>
          </w:p>
          <w:p w:rsidR="008D28F2" w:rsidRDefault="008D28F2" w:rsidP="008D28F2">
            <w:pPr>
              <w:pStyle w:val="Default"/>
              <w:ind w:left="414"/>
              <w:rPr>
                <w:sz w:val="18"/>
                <w:szCs w:val="18"/>
              </w:rPr>
            </w:pPr>
          </w:p>
          <w:p w:rsidR="008D28F2" w:rsidRPr="008D28F2" w:rsidRDefault="008D28F2" w:rsidP="008D28F2">
            <w:pPr>
              <w:pStyle w:val="Default"/>
              <w:numPr>
                <w:ilvl w:val="1"/>
                <w:numId w:val="11"/>
              </w:numPr>
              <w:ind w:left="414"/>
              <w:rPr>
                <w:sz w:val="18"/>
                <w:szCs w:val="18"/>
              </w:rPr>
            </w:pPr>
            <w:r w:rsidRPr="008D28F2">
              <w:rPr>
                <w:sz w:val="18"/>
                <w:szCs w:val="18"/>
              </w:rPr>
              <w:t xml:space="preserve">Any conflict of interest is acknowledged and associated risks are mitigated </w:t>
            </w:r>
          </w:p>
          <w:p w:rsidR="00194743" w:rsidRPr="00277A8E" w:rsidRDefault="00194743" w:rsidP="008D28F2">
            <w:pPr>
              <w:pStyle w:val="ListParagraph"/>
              <w:ind w:left="414"/>
              <w:jc w:val="both"/>
              <w:rPr>
                <w:color w:val="000000" w:themeColor="text1" w:themeShade="BF"/>
              </w:rPr>
            </w:pPr>
          </w:p>
        </w:tc>
      </w:tr>
      <w:tr w:rsidR="00194743" w:rsidRPr="00277A8E" w:rsidTr="00642D93">
        <w:tc>
          <w:tcPr>
            <w:tcW w:w="2802" w:type="dxa"/>
            <w:shd w:val="clear" w:color="auto" w:fill="B8CCE4" w:themeFill="accent1" w:themeFillTint="66"/>
          </w:tcPr>
          <w:p w:rsidR="00194743" w:rsidRPr="008D28F2" w:rsidRDefault="008D28F2" w:rsidP="00831741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  <w:color w:val="000000" w:themeColor="text1" w:themeShade="BF"/>
              </w:rPr>
            </w:pPr>
            <w:r w:rsidRPr="008D28F2">
              <w:rPr>
                <w:b/>
                <w:bCs/>
                <w:color w:val="000000" w:themeColor="text1" w:themeShade="BF"/>
              </w:rPr>
              <w:t>Materials are evidence based</w:t>
            </w:r>
          </w:p>
        </w:tc>
        <w:tc>
          <w:tcPr>
            <w:tcW w:w="6095" w:type="dxa"/>
          </w:tcPr>
          <w:p w:rsidR="008D28F2" w:rsidRPr="008D28F2" w:rsidRDefault="008D28F2" w:rsidP="008D28F2">
            <w:pPr>
              <w:pStyle w:val="ListParagraph"/>
              <w:ind w:left="414"/>
              <w:jc w:val="both"/>
              <w:rPr>
                <w:color w:val="000000" w:themeColor="text1" w:themeShade="BF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79"/>
            </w:tblGrid>
            <w:tr w:rsidR="008D28F2" w:rsidRPr="008D28F2">
              <w:trPr>
                <w:trHeight w:val="332"/>
              </w:trPr>
              <w:tc>
                <w:tcPr>
                  <w:tcW w:w="0" w:type="auto"/>
                </w:tcPr>
                <w:p w:rsidR="008D28F2" w:rsidRDefault="008D28F2" w:rsidP="008D28F2">
                  <w:pPr>
                    <w:pStyle w:val="ListParagraph"/>
                    <w:numPr>
                      <w:ilvl w:val="1"/>
                      <w:numId w:val="13"/>
                    </w:numPr>
                    <w:ind w:left="306"/>
                    <w:jc w:val="both"/>
                    <w:rPr>
                      <w:color w:val="000000" w:themeColor="text1" w:themeShade="BF"/>
                    </w:rPr>
                  </w:pPr>
                  <w:r w:rsidRPr="008D28F2">
                    <w:rPr>
                      <w:color w:val="000000" w:themeColor="text1" w:themeShade="BF"/>
                    </w:rPr>
                    <w:t xml:space="preserve">Content of the programme is supported </w:t>
                  </w:r>
                  <w:r>
                    <w:rPr>
                      <w:color w:val="000000" w:themeColor="text1" w:themeShade="BF"/>
                    </w:rPr>
                    <w:t>by an appropriate evidence-base</w:t>
                  </w:r>
                </w:p>
                <w:p w:rsidR="008D28F2" w:rsidRDefault="008D28F2" w:rsidP="008D28F2">
                  <w:pPr>
                    <w:pStyle w:val="ListParagraph"/>
                    <w:ind w:left="306"/>
                    <w:jc w:val="both"/>
                    <w:rPr>
                      <w:color w:val="000000" w:themeColor="text1" w:themeShade="BF"/>
                    </w:rPr>
                  </w:pPr>
                </w:p>
                <w:p w:rsidR="008D28F2" w:rsidRDefault="008D28F2" w:rsidP="008D28F2">
                  <w:pPr>
                    <w:pStyle w:val="ListParagraph"/>
                    <w:numPr>
                      <w:ilvl w:val="1"/>
                      <w:numId w:val="13"/>
                    </w:numPr>
                    <w:ind w:left="306"/>
                    <w:jc w:val="both"/>
                    <w:rPr>
                      <w:color w:val="000000" w:themeColor="text1" w:themeShade="BF"/>
                    </w:rPr>
                  </w:pPr>
                  <w:r w:rsidRPr="008D28F2">
                    <w:rPr>
                      <w:color w:val="000000" w:themeColor="text1" w:themeShade="BF"/>
                    </w:rPr>
                    <w:t>Relevance of the evi</w:t>
                  </w:r>
                  <w:r>
                    <w:rPr>
                      <w:color w:val="000000" w:themeColor="text1" w:themeShade="BF"/>
                    </w:rPr>
                    <w:t>dence-base is clearly described</w:t>
                  </w:r>
                </w:p>
                <w:p w:rsidR="008D28F2" w:rsidRPr="008D28F2" w:rsidRDefault="008D28F2" w:rsidP="008D28F2">
                  <w:pPr>
                    <w:pStyle w:val="ListParagraph"/>
                    <w:ind w:left="306"/>
                    <w:rPr>
                      <w:color w:val="000000" w:themeColor="text1" w:themeShade="BF"/>
                    </w:rPr>
                  </w:pPr>
                </w:p>
                <w:p w:rsidR="008D28F2" w:rsidRPr="008D28F2" w:rsidRDefault="008D28F2" w:rsidP="008D28F2">
                  <w:pPr>
                    <w:pStyle w:val="ListParagraph"/>
                    <w:numPr>
                      <w:ilvl w:val="1"/>
                      <w:numId w:val="13"/>
                    </w:numPr>
                    <w:ind w:left="306"/>
                    <w:jc w:val="both"/>
                    <w:rPr>
                      <w:color w:val="000000" w:themeColor="text1" w:themeShade="BF"/>
                    </w:rPr>
                  </w:pPr>
                  <w:r w:rsidRPr="008D28F2">
                    <w:rPr>
                      <w:color w:val="000000" w:themeColor="text1" w:themeShade="BF"/>
                    </w:rPr>
                    <w:t xml:space="preserve">Process of analysing and synthesising evidence is rigorous </w:t>
                  </w:r>
                </w:p>
                <w:p w:rsidR="008D28F2" w:rsidRPr="008D28F2" w:rsidRDefault="008D28F2" w:rsidP="008D28F2">
                  <w:pPr>
                    <w:ind w:left="306" w:hanging="283"/>
                    <w:jc w:val="both"/>
                    <w:rPr>
                      <w:color w:val="000000" w:themeColor="text1" w:themeShade="BF"/>
                    </w:rPr>
                  </w:pPr>
                </w:p>
              </w:tc>
            </w:tr>
          </w:tbl>
          <w:p w:rsidR="00194743" w:rsidRPr="00277A8E" w:rsidRDefault="00194743" w:rsidP="008D28F2">
            <w:pPr>
              <w:ind w:left="414" w:hanging="283"/>
              <w:jc w:val="both"/>
            </w:pPr>
          </w:p>
        </w:tc>
      </w:tr>
      <w:tr w:rsidR="00194743" w:rsidRPr="00277A8E" w:rsidTr="00642D93">
        <w:tc>
          <w:tcPr>
            <w:tcW w:w="2802" w:type="dxa"/>
            <w:shd w:val="clear" w:color="auto" w:fill="B8CCE4" w:themeFill="accent1" w:themeFillTint="66"/>
          </w:tcPr>
          <w:p w:rsidR="00860169" w:rsidRPr="00860169" w:rsidRDefault="00860169" w:rsidP="00831741">
            <w:pPr>
              <w:pStyle w:val="ListParagraph"/>
              <w:ind w:left="792"/>
              <w:jc w:val="both"/>
              <w:rPr>
                <w:b/>
                <w:bCs/>
                <w:color w:val="000000" w:themeColor="text1" w:themeShade="BF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860169" w:rsidRPr="00860169">
              <w:trPr>
                <w:trHeight w:val="848"/>
              </w:trPr>
              <w:tc>
                <w:tcPr>
                  <w:tcW w:w="0" w:type="auto"/>
                </w:tcPr>
                <w:p w:rsidR="00860169" w:rsidRPr="00860169" w:rsidRDefault="00860169" w:rsidP="00831741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b/>
                      <w:bCs/>
                      <w:color w:val="000000" w:themeColor="text1" w:themeShade="BF"/>
                    </w:rPr>
                  </w:pPr>
                  <w:r>
                    <w:rPr>
                      <w:b/>
                      <w:bCs/>
                      <w:color w:val="000000" w:themeColor="text1" w:themeShade="BF"/>
                    </w:rPr>
                    <w:t>Materials</w:t>
                  </w:r>
                  <w:r w:rsidRPr="00860169">
                    <w:rPr>
                      <w:b/>
                      <w:bCs/>
                      <w:color w:val="000000" w:themeColor="text1" w:themeShade="BF"/>
                    </w:rPr>
                    <w:t xml:space="preserve"> have an explicit statement about Intellectual Property Rights (IPR) and copyright issues </w:t>
                  </w:r>
                </w:p>
              </w:tc>
            </w:tr>
          </w:tbl>
          <w:p w:rsidR="00194743" w:rsidRPr="008D28F2" w:rsidRDefault="00194743" w:rsidP="00860169">
            <w:pPr>
              <w:pStyle w:val="ListParagraph"/>
              <w:ind w:left="0"/>
              <w:jc w:val="both"/>
              <w:rPr>
                <w:b/>
                <w:bCs/>
                <w:color w:val="000000" w:themeColor="text1" w:themeShade="BF"/>
              </w:rPr>
            </w:pPr>
          </w:p>
        </w:tc>
        <w:tc>
          <w:tcPr>
            <w:tcW w:w="6095" w:type="dxa"/>
          </w:tcPr>
          <w:p w:rsidR="00860169" w:rsidRDefault="00860169" w:rsidP="0086016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79"/>
            </w:tblGrid>
            <w:tr w:rsidR="00860169">
              <w:trPr>
                <w:trHeight w:val="208"/>
              </w:trPr>
              <w:tc>
                <w:tcPr>
                  <w:tcW w:w="0" w:type="auto"/>
                </w:tcPr>
                <w:p w:rsidR="00860169" w:rsidRDefault="00860169" w:rsidP="00860169">
                  <w:pPr>
                    <w:pStyle w:val="Default"/>
                    <w:numPr>
                      <w:ilvl w:val="1"/>
                      <w:numId w:val="14"/>
                    </w:numPr>
                    <w:ind w:left="306" w:hanging="42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Copyright owner and authorship of the material is specified </w:t>
                  </w:r>
                </w:p>
                <w:p w:rsidR="00860169" w:rsidRDefault="00860169" w:rsidP="00860169">
                  <w:pPr>
                    <w:pStyle w:val="Default"/>
                    <w:ind w:left="306" w:hanging="425"/>
                    <w:rPr>
                      <w:sz w:val="18"/>
                      <w:szCs w:val="18"/>
                    </w:rPr>
                  </w:pPr>
                </w:p>
                <w:p w:rsidR="00831741" w:rsidRPr="001338D1" w:rsidRDefault="00860169" w:rsidP="001338D1">
                  <w:pPr>
                    <w:pStyle w:val="Default"/>
                    <w:numPr>
                      <w:ilvl w:val="1"/>
                      <w:numId w:val="14"/>
                    </w:numPr>
                    <w:ind w:left="306" w:hanging="42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Permission has been granted for the right to use material/resources for an agreed purpose </w:t>
                  </w:r>
                </w:p>
                <w:p w:rsidR="00831741" w:rsidRDefault="00831741" w:rsidP="00831741">
                  <w:pPr>
                    <w:pStyle w:val="Default"/>
                    <w:ind w:left="306"/>
                    <w:rPr>
                      <w:sz w:val="18"/>
                      <w:szCs w:val="18"/>
                    </w:rPr>
                  </w:pPr>
                </w:p>
                <w:p w:rsidR="00860169" w:rsidRDefault="00860169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1338D1" w:rsidRDefault="001338D1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94743" w:rsidRPr="00860169" w:rsidRDefault="00194743" w:rsidP="00860169">
            <w:pPr>
              <w:jc w:val="both"/>
              <w:rPr>
                <w:color w:val="000000" w:themeColor="text1" w:themeShade="BF"/>
              </w:rPr>
            </w:pPr>
          </w:p>
        </w:tc>
      </w:tr>
      <w:tr w:rsidR="00194743" w:rsidRPr="00277A8E" w:rsidTr="00642D93">
        <w:tc>
          <w:tcPr>
            <w:tcW w:w="2802" w:type="dxa"/>
            <w:shd w:val="clear" w:color="auto" w:fill="B8CCE4" w:themeFill="accent1" w:themeFillTint="66"/>
          </w:tcPr>
          <w:p w:rsidR="00831741" w:rsidRDefault="00831741" w:rsidP="00831741">
            <w:pPr>
              <w:pStyle w:val="ListParagraph"/>
              <w:ind w:left="360"/>
              <w:jc w:val="both"/>
            </w:pPr>
          </w:p>
          <w:p w:rsidR="00194743" w:rsidRDefault="00831741" w:rsidP="00831741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  <w:color w:val="000000" w:themeColor="text1" w:themeShade="BF"/>
              </w:rPr>
            </w:pPr>
            <w:r w:rsidRPr="00831741">
              <w:rPr>
                <w:b/>
                <w:bCs/>
                <w:color w:val="000000" w:themeColor="text1" w:themeShade="BF"/>
              </w:rPr>
              <w:t>Materials have been considered in relation to equality, diversity and human rights for all target groups</w:t>
            </w:r>
          </w:p>
          <w:p w:rsidR="00642D93" w:rsidRPr="00831741" w:rsidRDefault="00642D93" w:rsidP="00642D93">
            <w:pPr>
              <w:pStyle w:val="ListParagraph"/>
              <w:ind w:left="360"/>
              <w:jc w:val="both"/>
              <w:rPr>
                <w:b/>
                <w:bCs/>
                <w:color w:val="000000" w:themeColor="text1" w:themeShade="BF"/>
              </w:rPr>
            </w:pPr>
          </w:p>
        </w:tc>
        <w:tc>
          <w:tcPr>
            <w:tcW w:w="6095" w:type="dxa"/>
          </w:tcPr>
          <w:p w:rsidR="00831741" w:rsidRDefault="00831741" w:rsidP="00831741">
            <w:pPr>
              <w:pStyle w:val="Default"/>
              <w:ind w:left="414" w:hanging="414"/>
              <w:jc w:val="both"/>
              <w:rPr>
                <w:sz w:val="18"/>
                <w:szCs w:val="18"/>
              </w:rPr>
            </w:pPr>
          </w:p>
          <w:p w:rsidR="00831741" w:rsidRDefault="00831741" w:rsidP="00831741">
            <w:pPr>
              <w:pStyle w:val="Default"/>
              <w:numPr>
                <w:ilvl w:val="1"/>
                <w:numId w:val="17"/>
              </w:numPr>
              <w:ind w:left="414" w:hanging="4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 are compliant with the requirements of the Equality Act (2010) and anti-discrimination legislation (Northern Ireland) </w:t>
            </w:r>
          </w:p>
          <w:p w:rsidR="00194743" w:rsidRPr="00277A8E" w:rsidRDefault="00194743" w:rsidP="00831741">
            <w:pPr>
              <w:pStyle w:val="Default"/>
              <w:ind w:left="414"/>
              <w:jc w:val="both"/>
              <w:rPr>
                <w:sz w:val="18"/>
                <w:szCs w:val="18"/>
              </w:rPr>
            </w:pPr>
          </w:p>
        </w:tc>
      </w:tr>
    </w:tbl>
    <w:p w:rsidR="00D5397D" w:rsidRDefault="00D5397D" w:rsidP="00194743">
      <w:pPr>
        <w:jc w:val="both"/>
        <w:rPr>
          <w:b/>
          <w:sz w:val="24"/>
          <w:szCs w:val="24"/>
        </w:rPr>
      </w:pPr>
    </w:p>
    <w:p w:rsidR="00323B8A" w:rsidRDefault="00323B8A" w:rsidP="00194743">
      <w:pPr>
        <w:jc w:val="both"/>
        <w:rPr>
          <w:b/>
          <w:sz w:val="24"/>
          <w:szCs w:val="24"/>
        </w:rPr>
      </w:pPr>
    </w:p>
    <w:p w:rsidR="00323B8A" w:rsidRDefault="00323B8A" w:rsidP="00194743">
      <w:pPr>
        <w:jc w:val="both"/>
        <w:rPr>
          <w:b/>
          <w:sz w:val="24"/>
          <w:szCs w:val="24"/>
        </w:rPr>
      </w:pPr>
    </w:p>
    <w:p w:rsidR="00194743" w:rsidRPr="00017677" w:rsidRDefault="00642D93" w:rsidP="00194743">
      <w:pPr>
        <w:jc w:val="both"/>
        <w:rPr>
          <w:b/>
          <w:sz w:val="24"/>
          <w:szCs w:val="24"/>
        </w:rPr>
      </w:pPr>
      <w:r w:rsidRPr="00017677">
        <w:rPr>
          <w:b/>
          <w:sz w:val="24"/>
          <w:szCs w:val="24"/>
        </w:rPr>
        <w:t>Domain 2: Events</w:t>
      </w:r>
    </w:p>
    <w:p w:rsidR="00642D93" w:rsidRDefault="00642D93" w:rsidP="00194743">
      <w:pPr>
        <w:jc w:val="both"/>
        <w:rPr>
          <w:sz w:val="24"/>
          <w:szCs w:val="2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642D93" w:rsidRPr="00642D93" w:rsidTr="00B92746">
        <w:tc>
          <w:tcPr>
            <w:tcW w:w="2802" w:type="dxa"/>
            <w:shd w:val="clear" w:color="auto" w:fill="4F81BD" w:themeFill="accent1"/>
          </w:tcPr>
          <w:p w:rsidR="00642D93" w:rsidRPr="00774C25" w:rsidRDefault="00642D93" w:rsidP="00B92746">
            <w:pPr>
              <w:pStyle w:val="ListParagraph"/>
              <w:ind w:left="360"/>
              <w:jc w:val="both"/>
              <w:rPr>
                <w:b/>
                <w:bCs/>
                <w:color w:val="000000" w:themeColor="text1" w:themeShade="BF"/>
                <w:sz w:val="24"/>
                <w:szCs w:val="24"/>
              </w:rPr>
            </w:pPr>
            <w:r w:rsidRPr="00774C25">
              <w:rPr>
                <w:b/>
                <w:bCs/>
                <w:color w:val="000000" w:themeColor="text1" w:themeShade="BF"/>
                <w:sz w:val="24"/>
                <w:szCs w:val="24"/>
              </w:rPr>
              <w:t>Standard Statement</w:t>
            </w:r>
          </w:p>
        </w:tc>
        <w:tc>
          <w:tcPr>
            <w:tcW w:w="6095" w:type="dxa"/>
            <w:shd w:val="clear" w:color="auto" w:fill="4F81BD" w:themeFill="accent1"/>
          </w:tcPr>
          <w:p w:rsidR="00642D93" w:rsidRPr="00642D93" w:rsidRDefault="00642D93" w:rsidP="00B92746">
            <w:pPr>
              <w:ind w:left="414" w:hanging="283"/>
              <w:jc w:val="both"/>
              <w:rPr>
                <w:b/>
                <w:sz w:val="24"/>
                <w:szCs w:val="24"/>
              </w:rPr>
            </w:pPr>
            <w:r w:rsidRPr="00642D93">
              <w:rPr>
                <w:b/>
                <w:sz w:val="24"/>
                <w:szCs w:val="24"/>
              </w:rPr>
              <w:t>Criteria</w:t>
            </w:r>
          </w:p>
        </w:tc>
      </w:tr>
      <w:tr w:rsidR="00642D93" w:rsidRPr="00277A8E" w:rsidTr="00B92746">
        <w:tc>
          <w:tcPr>
            <w:tcW w:w="2802" w:type="dxa"/>
            <w:shd w:val="clear" w:color="auto" w:fill="B8CCE4" w:themeFill="accent1" w:themeFillTint="66"/>
          </w:tcPr>
          <w:p w:rsidR="00642D93" w:rsidRPr="00774C25" w:rsidRDefault="00642D93" w:rsidP="00642D93">
            <w:pPr>
              <w:pStyle w:val="ListParagraph"/>
              <w:ind w:left="360"/>
              <w:jc w:val="both"/>
              <w:rPr>
                <w:b/>
                <w:bCs/>
                <w:color w:val="000000" w:themeColor="text1" w:themeShade="BF"/>
              </w:rPr>
            </w:pPr>
          </w:p>
          <w:p w:rsidR="00642D93" w:rsidRPr="00332BC7" w:rsidRDefault="00774C25" w:rsidP="00332BC7">
            <w:pPr>
              <w:pStyle w:val="ListParagraph"/>
              <w:numPr>
                <w:ilvl w:val="0"/>
                <w:numId w:val="36"/>
              </w:numPr>
              <w:jc w:val="both"/>
              <w:rPr>
                <w:b/>
                <w:bCs/>
                <w:color w:val="000000" w:themeColor="text1" w:themeShade="BF"/>
              </w:rPr>
            </w:pPr>
            <w:r w:rsidRPr="00332BC7">
              <w:rPr>
                <w:b/>
              </w:rPr>
              <w:t>Events</w:t>
            </w:r>
            <w:r w:rsidR="00642D93" w:rsidRPr="00332BC7">
              <w:rPr>
                <w:b/>
                <w:bCs/>
                <w:color w:val="000000" w:themeColor="text1" w:themeShade="BF"/>
              </w:rPr>
              <w:t xml:space="preserve"> are consistent with the CMHP charitable aim and its strategy aims</w:t>
            </w:r>
          </w:p>
        </w:tc>
        <w:tc>
          <w:tcPr>
            <w:tcW w:w="6095" w:type="dxa"/>
          </w:tcPr>
          <w:p w:rsidR="00642D93" w:rsidRPr="008D28F2" w:rsidRDefault="00642D93" w:rsidP="00B92746">
            <w:pPr>
              <w:pStyle w:val="ListParagraph"/>
              <w:ind w:left="414"/>
              <w:jc w:val="both"/>
            </w:pPr>
          </w:p>
          <w:p w:rsidR="00642D93" w:rsidRPr="00277A8E" w:rsidRDefault="00642D93" w:rsidP="00332BC7">
            <w:pPr>
              <w:pStyle w:val="ListParagraph"/>
              <w:numPr>
                <w:ilvl w:val="1"/>
                <w:numId w:val="36"/>
              </w:numPr>
              <w:ind w:left="459"/>
              <w:jc w:val="both"/>
            </w:pPr>
            <w:r w:rsidRPr="00277A8E">
              <w:rPr>
                <w:bCs/>
                <w:color w:val="000000" w:themeColor="text1" w:themeShade="BF"/>
              </w:rPr>
              <w:t>To advance education in the practice of mental health pharmacy and to promote and disseminate research for the public benefit, in all aspects of that subject</w:t>
            </w:r>
          </w:p>
          <w:p w:rsidR="00642D93" w:rsidRPr="003955E7" w:rsidRDefault="00642D93" w:rsidP="00332BC7">
            <w:pPr>
              <w:pStyle w:val="ListParagraph"/>
              <w:numPr>
                <w:ilvl w:val="1"/>
                <w:numId w:val="36"/>
              </w:numPr>
              <w:ind w:left="414"/>
              <w:jc w:val="both"/>
              <w:rPr>
                <w:rFonts w:cs="Arial"/>
              </w:rPr>
            </w:pPr>
            <w:r w:rsidRPr="00277A8E">
              <w:rPr>
                <w:rFonts w:cs="Arial"/>
                <w:color w:val="000000" w:themeColor="text1" w:themeShade="BF"/>
              </w:rPr>
              <w:t xml:space="preserve">To support, develop and encourage the safe, effective and economical use of medicines for people with mental health problems. </w:t>
            </w:r>
          </w:p>
          <w:p w:rsidR="00642D93" w:rsidRPr="00277A8E" w:rsidRDefault="00642D93" w:rsidP="00332BC7">
            <w:pPr>
              <w:pStyle w:val="ListParagraph"/>
              <w:numPr>
                <w:ilvl w:val="1"/>
                <w:numId w:val="36"/>
              </w:numPr>
              <w:ind w:left="414"/>
              <w:jc w:val="both"/>
              <w:rPr>
                <w:rFonts w:cs="Arial"/>
              </w:rPr>
            </w:pPr>
            <w:r w:rsidRPr="00277A8E">
              <w:rPr>
                <w:rFonts w:cs="Arial"/>
                <w:color w:val="000000" w:themeColor="text1" w:themeShade="BF"/>
              </w:rPr>
              <w:t>To ensure the sharin</w:t>
            </w:r>
            <w:r w:rsidRPr="00277A8E">
              <w:rPr>
                <w:rFonts w:cs="Arial"/>
              </w:rPr>
              <w:t>g of good practice and learning in mental health pharmacy</w:t>
            </w:r>
          </w:p>
          <w:p w:rsidR="00642D93" w:rsidRPr="00277A8E" w:rsidRDefault="00642D93" w:rsidP="00B92746">
            <w:pPr>
              <w:pStyle w:val="ListParagraph"/>
              <w:ind w:left="414" w:hanging="283"/>
              <w:jc w:val="both"/>
              <w:rPr>
                <w:rFonts w:cs="Arial"/>
              </w:rPr>
            </w:pPr>
          </w:p>
          <w:p w:rsidR="00642D93" w:rsidRPr="00277A8E" w:rsidRDefault="00642D93" w:rsidP="00B92746">
            <w:pPr>
              <w:pStyle w:val="ListParagraph"/>
              <w:ind w:left="414" w:hanging="283"/>
              <w:jc w:val="both"/>
              <w:rPr>
                <w:rFonts w:cs="Arial"/>
                <w:color w:val="000000" w:themeColor="text1" w:themeShade="BF"/>
              </w:rPr>
            </w:pPr>
          </w:p>
        </w:tc>
      </w:tr>
      <w:tr w:rsidR="00642D93" w:rsidRPr="00277A8E" w:rsidTr="003955E7">
        <w:trPr>
          <w:trHeight w:val="3681"/>
        </w:trPr>
        <w:tc>
          <w:tcPr>
            <w:tcW w:w="2802" w:type="dxa"/>
            <w:shd w:val="clear" w:color="auto" w:fill="B8CCE4" w:themeFill="accent1" w:themeFillTint="66"/>
          </w:tcPr>
          <w:p w:rsidR="00642D93" w:rsidRPr="00774C25" w:rsidRDefault="00642D93" w:rsidP="00774C25">
            <w:pPr>
              <w:pStyle w:val="ListParagraph"/>
              <w:ind w:left="360"/>
              <w:jc w:val="both"/>
              <w:rPr>
                <w:b/>
                <w:bCs/>
                <w:color w:val="000000" w:themeColor="text1" w:themeShade="BF"/>
              </w:rPr>
            </w:pPr>
          </w:p>
          <w:p w:rsidR="00642D93" w:rsidRPr="00332BC7" w:rsidRDefault="00774C25" w:rsidP="00332BC7">
            <w:pPr>
              <w:pStyle w:val="ListParagraph"/>
              <w:numPr>
                <w:ilvl w:val="0"/>
                <w:numId w:val="36"/>
              </w:numPr>
              <w:jc w:val="both"/>
              <w:rPr>
                <w:b/>
                <w:bCs/>
                <w:color w:val="000000" w:themeColor="text1" w:themeShade="BF"/>
              </w:rPr>
            </w:pPr>
            <w:r w:rsidRPr="00332BC7">
              <w:rPr>
                <w:b/>
              </w:rPr>
              <w:t>Events</w:t>
            </w:r>
            <w:r w:rsidR="00642D93" w:rsidRPr="00332BC7">
              <w:rPr>
                <w:b/>
                <w:bCs/>
                <w:color w:val="000000" w:themeColor="text1" w:themeShade="BF"/>
              </w:rPr>
              <w:t xml:space="preserve"> are consistent with </w:t>
            </w:r>
            <w:r w:rsidR="00642D93" w:rsidRPr="00332BC7">
              <w:rPr>
                <w:b/>
              </w:rPr>
              <w:t>the Professional Standards of P</w:t>
            </w:r>
            <w:r w:rsidR="00642D93" w:rsidRPr="00332BC7">
              <w:rPr>
                <w:b/>
                <w:bCs/>
                <w:color w:val="000000" w:themeColor="text1" w:themeShade="BF"/>
              </w:rPr>
              <w:t>harmacy</w:t>
            </w:r>
          </w:p>
        </w:tc>
        <w:tc>
          <w:tcPr>
            <w:tcW w:w="6095" w:type="dxa"/>
          </w:tcPr>
          <w:p w:rsidR="00642D93" w:rsidRPr="00277A8E" w:rsidRDefault="00642D93" w:rsidP="00332BC7">
            <w:pPr>
              <w:pStyle w:val="Default"/>
              <w:ind w:left="459" w:hanging="327"/>
              <w:rPr>
                <w:color w:val="auto"/>
                <w:sz w:val="18"/>
                <w:szCs w:val="18"/>
              </w:rPr>
            </w:pPr>
          </w:p>
          <w:p w:rsidR="00642D93" w:rsidRPr="003955E7" w:rsidRDefault="00642D93" w:rsidP="00332BC7">
            <w:pPr>
              <w:pStyle w:val="Default"/>
              <w:numPr>
                <w:ilvl w:val="1"/>
                <w:numId w:val="37"/>
              </w:numPr>
              <w:ind w:left="459"/>
              <w:rPr>
                <w:color w:val="auto"/>
                <w:sz w:val="18"/>
                <w:szCs w:val="18"/>
              </w:rPr>
            </w:pPr>
            <w:r w:rsidRPr="00277A8E">
              <w:rPr>
                <w:sz w:val="18"/>
                <w:szCs w:val="18"/>
              </w:rPr>
              <w:t xml:space="preserve">The content has direct relevance to mental health pharmacy and fits with the national pharmacy policy and development in UK Four Countries; including government, regulators and professional </w:t>
            </w:r>
            <w:r>
              <w:rPr>
                <w:sz w:val="18"/>
                <w:szCs w:val="18"/>
              </w:rPr>
              <w:t>pharmacy</w:t>
            </w:r>
            <w:r w:rsidRPr="00277A8E">
              <w:rPr>
                <w:sz w:val="18"/>
                <w:szCs w:val="18"/>
              </w:rPr>
              <w:t xml:space="preserve"> bodies</w:t>
            </w:r>
          </w:p>
          <w:p w:rsidR="00642D93" w:rsidRPr="003955E7" w:rsidRDefault="00642D93" w:rsidP="00332BC7">
            <w:pPr>
              <w:pStyle w:val="Default"/>
              <w:numPr>
                <w:ilvl w:val="1"/>
                <w:numId w:val="37"/>
              </w:numPr>
              <w:ind w:left="459"/>
              <w:rPr>
                <w:sz w:val="18"/>
                <w:szCs w:val="18"/>
              </w:rPr>
            </w:pPr>
            <w:r w:rsidRPr="00277A8E">
              <w:rPr>
                <w:sz w:val="18"/>
                <w:szCs w:val="18"/>
              </w:rPr>
              <w:t xml:space="preserve">Content of the </w:t>
            </w:r>
            <w:r w:rsidR="00774C25">
              <w:rPr>
                <w:sz w:val="18"/>
                <w:szCs w:val="18"/>
              </w:rPr>
              <w:t>events</w:t>
            </w:r>
            <w:r>
              <w:rPr>
                <w:sz w:val="18"/>
                <w:szCs w:val="18"/>
              </w:rPr>
              <w:t xml:space="preserve"> are</w:t>
            </w:r>
            <w:r w:rsidRPr="00277A8E">
              <w:rPr>
                <w:sz w:val="18"/>
                <w:szCs w:val="18"/>
              </w:rPr>
              <w:t xml:space="preserve"> of direct relevance to </w:t>
            </w:r>
            <w:r>
              <w:rPr>
                <w:sz w:val="18"/>
                <w:szCs w:val="18"/>
              </w:rPr>
              <w:t xml:space="preserve">pharmacy and fits with national pharmacy </w:t>
            </w:r>
            <w:r w:rsidRPr="00277A8E">
              <w:rPr>
                <w:sz w:val="18"/>
                <w:szCs w:val="18"/>
              </w:rPr>
              <w:t xml:space="preserve">policy and development in Europe/Internationally; including government, regulators and professional </w:t>
            </w:r>
            <w:r>
              <w:rPr>
                <w:sz w:val="18"/>
                <w:szCs w:val="18"/>
              </w:rPr>
              <w:t>pharmacy</w:t>
            </w:r>
            <w:r w:rsidRPr="00277A8E">
              <w:rPr>
                <w:sz w:val="18"/>
                <w:szCs w:val="18"/>
              </w:rPr>
              <w:t xml:space="preserve"> bodies</w:t>
            </w:r>
          </w:p>
          <w:p w:rsidR="00642D93" w:rsidRPr="003955E7" w:rsidRDefault="00642D93" w:rsidP="00332BC7">
            <w:pPr>
              <w:pStyle w:val="Default"/>
              <w:numPr>
                <w:ilvl w:val="1"/>
                <w:numId w:val="37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content is consistent with the standards of conduct, ethics and performance set out by the General Pharmaceutical Council.</w:t>
            </w:r>
          </w:p>
          <w:p w:rsidR="00642D93" w:rsidRPr="003955E7" w:rsidRDefault="00774C25" w:rsidP="00332BC7">
            <w:pPr>
              <w:pStyle w:val="Default"/>
              <w:numPr>
                <w:ilvl w:val="1"/>
                <w:numId w:val="37"/>
              </w:numPr>
              <w:ind w:lef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Events</w:t>
            </w:r>
            <w:r w:rsidR="00642D93" w:rsidRPr="008D28F2">
              <w:rPr>
                <w:sz w:val="18"/>
                <w:szCs w:val="18"/>
              </w:rPr>
              <w:t xml:space="preserve"> adhere to the Association of British Pharmaceutical Industries (ABPI) Code of Practice (2008) and the Association of British Healthcare Industries (ABHI) C</w:t>
            </w:r>
            <w:r w:rsidR="00642D93">
              <w:rPr>
                <w:sz w:val="18"/>
                <w:szCs w:val="18"/>
              </w:rPr>
              <w:t>ode of Business Practice (2012)</w:t>
            </w:r>
          </w:p>
          <w:p w:rsidR="00642D93" w:rsidRPr="008D28F2" w:rsidRDefault="00642D93" w:rsidP="00332BC7">
            <w:pPr>
              <w:pStyle w:val="Default"/>
              <w:numPr>
                <w:ilvl w:val="1"/>
                <w:numId w:val="37"/>
              </w:numPr>
              <w:ind w:left="459"/>
              <w:rPr>
                <w:sz w:val="18"/>
                <w:szCs w:val="18"/>
              </w:rPr>
            </w:pPr>
            <w:r w:rsidRPr="008D28F2">
              <w:rPr>
                <w:sz w:val="18"/>
                <w:szCs w:val="18"/>
              </w:rPr>
              <w:t xml:space="preserve">Any conflict of interest is acknowledged and associated risks are mitigated </w:t>
            </w:r>
          </w:p>
          <w:p w:rsidR="00642D93" w:rsidRPr="00277A8E" w:rsidRDefault="00642D93" w:rsidP="00B92746">
            <w:pPr>
              <w:pStyle w:val="ListParagraph"/>
              <w:ind w:left="414"/>
              <w:jc w:val="both"/>
              <w:rPr>
                <w:color w:val="000000" w:themeColor="text1" w:themeShade="BF"/>
              </w:rPr>
            </w:pPr>
          </w:p>
        </w:tc>
      </w:tr>
      <w:tr w:rsidR="00642D93" w:rsidRPr="00277A8E" w:rsidTr="00B92746">
        <w:tc>
          <w:tcPr>
            <w:tcW w:w="2802" w:type="dxa"/>
            <w:shd w:val="clear" w:color="auto" w:fill="B8CCE4" w:themeFill="accent1" w:themeFillTint="66"/>
          </w:tcPr>
          <w:p w:rsidR="00774C25" w:rsidRPr="00774C25" w:rsidRDefault="00774C25" w:rsidP="00774C25">
            <w:pPr>
              <w:pStyle w:val="ListParagraph"/>
              <w:ind w:left="360"/>
              <w:jc w:val="both"/>
              <w:rPr>
                <w:b/>
                <w:bCs/>
                <w:color w:val="000000" w:themeColor="text1" w:themeShade="BF"/>
              </w:rPr>
            </w:pPr>
          </w:p>
          <w:p w:rsidR="00642D93" w:rsidRPr="00774C25" w:rsidRDefault="00774C25" w:rsidP="00332BC7">
            <w:pPr>
              <w:pStyle w:val="ListParagraph"/>
              <w:numPr>
                <w:ilvl w:val="0"/>
                <w:numId w:val="36"/>
              </w:numPr>
              <w:jc w:val="both"/>
              <w:rPr>
                <w:b/>
                <w:bCs/>
                <w:color w:val="000000" w:themeColor="text1" w:themeShade="BF"/>
              </w:rPr>
            </w:pPr>
            <w:r w:rsidRPr="00774C25">
              <w:rPr>
                <w:b/>
                <w:bCs/>
                <w:color w:val="000000" w:themeColor="text1" w:themeShade="BF"/>
              </w:rPr>
              <w:t>Events</w:t>
            </w:r>
            <w:r w:rsidR="00642D93" w:rsidRPr="00774C25">
              <w:rPr>
                <w:b/>
                <w:bCs/>
                <w:color w:val="000000" w:themeColor="text1" w:themeShade="BF"/>
              </w:rPr>
              <w:t xml:space="preserve"> are evidence based</w:t>
            </w:r>
          </w:p>
        </w:tc>
        <w:tc>
          <w:tcPr>
            <w:tcW w:w="6095" w:type="dxa"/>
          </w:tcPr>
          <w:p w:rsidR="00642D93" w:rsidRPr="008D28F2" w:rsidRDefault="00642D93" w:rsidP="00332BC7">
            <w:pPr>
              <w:pStyle w:val="ListParagraph"/>
              <w:ind w:left="459" w:hanging="426"/>
              <w:jc w:val="both"/>
              <w:rPr>
                <w:color w:val="000000" w:themeColor="text1" w:themeShade="BF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79"/>
            </w:tblGrid>
            <w:tr w:rsidR="00642D93" w:rsidRPr="008D28F2" w:rsidTr="00B92746">
              <w:trPr>
                <w:trHeight w:val="332"/>
              </w:trPr>
              <w:tc>
                <w:tcPr>
                  <w:tcW w:w="0" w:type="auto"/>
                </w:tcPr>
                <w:p w:rsidR="00642D93" w:rsidRPr="003955E7" w:rsidRDefault="00642D93" w:rsidP="004E53E7">
                  <w:pPr>
                    <w:pStyle w:val="ListParagraph"/>
                    <w:numPr>
                      <w:ilvl w:val="2"/>
                      <w:numId w:val="40"/>
                    </w:numPr>
                    <w:ind w:left="351" w:hanging="426"/>
                    <w:jc w:val="both"/>
                    <w:rPr>
                      <w:color w:val="000000" w:themeColor="text1" w:themeShade="BF"/>
                    </w:rPr>
                  </w:pPr>
                  <w:r w:rsidRPr="008D28F2">
                    <w:rPr>
                      <w:color w:val="000000" w:themeColor="text1" w:themeShade="BF"/>
                    </w:rPr>
                    <w:t xml:space="preserve">Content of the programme is supported </w:t>
                  </w:r>
                  <w:r>
                    <w:rPr>
                      <w:color w:val="000000" w:themeColor="text1" w:themeShade="BF"/>
                    </w:rPr>
                    <w:t>by an appropriate evidence-base</w:t>
                  </w:r>
                </w:p>
                <w:p w:rsidR="00642D93" w:rsidRPr="003955E7" w:rsidRDefault="00642D93" w:rsidP="004E53E7">
                  <w:pPr>
                    <w:pStyle w:val="ListParagraph"/>
                    <w:numPr>
                      <w:ilvl w:val="2"/>
                      <w:numId w:val="40"/>
                    </w:numPr>
                    <w:ind w:left="351" w:hanging="426"/>
                    <w:jc w:val="both"/>
                    <w:rPr>
                      <w:color w:val="000000" w:themeColor="text1" w:themeShade="BF"/>
                    </w:rPr>
                  </w:pPr>
                  <w:r w:rsidRPr="008D28F2">
                    <w:rPr>
                      <w:color w:val="000000" w:themeColor="text1" w:themeShade="BF"/>
                    </w:rPr>
                    <w:t>Relevance of the evi</w:t>
                  </w:r>
                  <w:r>
                    <w:rPr>
                      <w:color w:val="000000" w:themeColor="text1" w:themeShade="BF"/>
                    </w:rPr>
                    <w:t>dence-base is clearly described</w:t>
                  </w:r>
                </w:p>
                <w:p w:rsidR="00642D93" w:rsidRPr="008D28F2" w:rsidRDefault="00642D93" w:rsidP="004E53E7">
                  <w:pPr>
                    <w:pStyle w:val="ListParagraph"/>
                    <w:numPr>
                      <w:ilvl w:val="2"/>
                      <w:numId w:val="40"/>
                    </w:numPr>
                    <w:ind w:left="351" w:hanging="426"/>
                    <w:jc w:val="both"/>
                    <w:rPr>
                      <w:color w:val="000000" w:themeColor="text1" w:themeShade="BF"/>
                    </w:rPr>
                  </w:pPr>
                  <w:r w:rsidRPr="008D28F2">
                    <w:rPr>
                      <w:color w:val="000000" w:themeColor="text1" w:themeShade="BF"/>
                    </w:rPr>
                    <w:t xml:space="preserve">Process of analysing and synthesising evidence is rigorous </w:t>
                  </w:r>
                </w:p>
                <w:p w:rsidR="00642D93" w:rsidRPr="008D28F2" w:rsidRDefault="00642D93" w:rsidP="00332BC7">
                  <w:pPr>
                    <w:ind w:left="459" w:hanging="426"/>
                    <w:jc w:val="both"/>
                    <w:rPr>
                      <w:color w:val="000000" w:themeColor="text1" w:themeShade="BF"/>
                    </w:rPr>
                  </w:pPr>
                </w:p>
              </w:tc>
            </w:tr>
          </w:tbl>
          <w:p w:rsidR="00642D93" w:rsidRPr="00277A8E" w:rsidRDefault="00642D93" w:rsidP="00B92746">
            <w:pPr>
              <w:ind w:left="414" w:hanging="283"/>
              <w:jc w:val="both"/>
            </w:pPr>
          </w:p>
        </w:tc>
      </w:tr>
      <w:tr w:rsidR="00642D93" w:rsidRPr="00277A8E" w:rsidTr="00323B8A">
        <w:trPr>
          <w:trHeight w:val="70"/>
        </w:trPr>
        <w:tc>
          <w:tcPr>
            <w:tcW w:w="2802" w:type="dxa"/>
            <w:shd w:val="clear" w:color="auto" w:fill="B8CCE4" w:themeFill="accent1" w:themeFillTint="66"/>
          </w:tcPr>
          <w:p w:rsidR="00642D93" w:rsidRPr="00774C25" w:rsidRDefault="00642D93" w:rsidP="00774C25">
            <w:pPr>
              <w:pStyle w:val="ListParagraph"/>
              <w:ind w:left="360"/>
              <w:jc w:val="both"/>
              <w:rPr>
                <w:b/>
                <w:bCs/>
                <w:color w:val="000000" w:themeColor="text1" w:themeShade="BF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642D93" w:rsidRPr="00774C25" w:rsidTr="00B92746">
              <w:trPr>
                <w:trHeight w:val="848"/>
              </w:trPr>
              <w:tc>
                <w:tcPr>
                  <w:tcW w:w="0" w:type="auto"/>
                </w:tcPr>
                <w:p w:rsidR="00642D93" w:rsidRPr="00774C25" w:rsidRDefault="00774C25" w:rsidP="00332BC7">
                  <w:pPr>
                    <w:pStyle w:val="ListParagraph"/>
                    <w:numPr>
                      <w:ilvl w:val="0"/>
                      <w:numId w:val="36"/>
                    </w:numPr>
                    <w:ind w:left="318" w:hanging="426"/>
                    <w:jc w:val="both"/>
                    <w:rPr>
                      <w:b/>
                      <w:bCs/>
                      <w:color w:val="000000" w:themeColor="text1" w:themeShade="BF"/>
                    </w:rPr>
                  </w:pPr>
                  <w:r w:rsidRPr="00774C25">
                    <w:rPr>
                      <w:b/>
                      <w:bCs/>
                      <w:color w:val="000000" w:themeColor="text1" w:themeShade="BF"/>
                    </w:rPr>
                    <w:t>Events</w:t>
                  </w:r>
                  <w:r w:rsidR="00642D93" w:rsidRPr="00774C25">
                    <w:rPr>
                      <w:b/>
                      <w:bCs/>
                      <w:color w:val="000000" w:themeColor="text1" w:themeShade="BF"/>
                    </w:rPr>
                    <w:t xml:space="preserve"> have an explicit statement about Intellectual Property Rights (IPR) and copyright issues </w:t>
                  </w:r>
                </w:p>
              </w:tc>
            </w:tr>
          </w:tbl>
          <w:p w:rsidR="00642D93" w:rsidRPr="00774C25" w:rsidRDefault="00642D93" w:rsidP="00B92746">
            <w:pPr>
              <w:pStyle w:val="ListParagraph"/>
              <w:ind w:left="0"/>
              <w:jc w:val="both"/>
              <w:rPr>
                <w:b/>
                <w:bCs/>
                <w:color w:val="000000" w:themeColor="text1" w:themeShade="BF"/>
              </w:rPr>
            </w:pPr>
          </w:p>
        </w:tc>
        <w:tc>
          <w:tcPr>
            <w:tcW w:w="6095" w:type="dxa"/>
          </w:tcPr>
          <w:p w:rsidR="00642D93" w:rsidRDefault="00642D93" w:rsidP="00B9274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79"/>
            </w:tblGrid>
            <w:tr w:rsidR="00642D93" w:rsidTr="00B92746">
              <w:trPr>
                <w:trHeight w:val="208"/>
              </w:trPr>
              <w:tc>
                <w:tcPr>
                  <w:tcW w:w="0" w:type="auto"/>
                </w:tcPr>
                <w:p w:rsidR="00642D93" w:rsidRPr="003955E7" w:rsidRDefault="00642D93" w:rsidP="004E53E7">
                  <w:pPr>
                    <w:pStyle w:val="Default"/>
                    <w:numPr>
                      <w:ilvl w:val="1"/>
                      <w:numId w:val="42"/>
                    </w:numPr>
                    <w:ind w:left="3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Copyright owner and authorship of the material is specified </w:t>
                  </w:r>
                </w:p>
                <w:p w:rsidR="00642D93" w:rsidRDefault="00642D93" w:rsidP="004E53E7">
                  <w:pPr>
                    <w:pStyle w:val="Default"/>
                    <w:numPr>
                      <w:ilvl w:val="1"/>
                      <w:numId w:val="42"/>
                    </w:numPr>
                    <w:ind w:left="3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Permission has been granted for the right to use material/resources for an agreed purpose </w:t>
                  </w:r>
                </w:p>
                <w:p w:rsidR="00642D93" w:rsidRDefault="00642D93" w:rsidP="004E53E7">
                  <w:pPr>
                    <w:pStyle w:val="ListParagraph"/>
                    <w:ind w:left="351" w:hanging="426"/>
                  </w:pPr>
                </w:p>
                <w:p w:rsidR="00642D93" w:rsidRDefault="00642D93" w:rsidP="004E53E7">
                  <w:pPr>
                    <w:pStyle w:val="Default"/>
                    <w:ind w:left="351" w:hanging="426"/>
                    <w:rPr>
                      <w:sz w:val="18"/>
                      <w:szCs w:val="18"/>
                    </w:rPr>
                  </w:pPr>
                </w:p>
                <w:p w:rsidR="00642D93" w:rsidRDefault="00642D93" w:rsidP="004E53E7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42D93" w:rsidRPr="00860169" w:rsidRDefault="00642D93" w:rsidP="00B92746">
            <w:pPr>
              <w:jc w:val="both"/>
              <w:rPr>
                <w:color w:val="000000" w:themeColor="text1" w:themeShade="BF"/>
              </w:rPr>
            </w:pPr>
          </w:p>
        </w:tc>
      </w:tr>
      <w:tr w:rsidR="00642D93" w:rsidRPr="00277A8E" w:rsidTr="00B92746">
        <w:tc>
          <w:tcPr>
            <w:tcW w:w="2802" w:type="dxa"/>
            <w:shd w:val="clear" w:color="auto" w:fill="B8CCE4" w:themeFill="accent1" w:themeFillTint="66"/>
          </w:tcPr>
          <w:p w:rsidR="00642D93" w:rsidRPr="00774C25" w:rsidRDefault="00642D93" w:rsidP="00774C25">
            <w:pPr>
              <w:pStyle w:val="ListParagraph"/>
              <w:ind w:left="360"/>
              <w:jc w:val="both"/>
              <w:rPr>
                <w:b/>
              </w:rPr>
            </w:pPr>
          </w:p>
          <w:p w:rsidR="00642D93" w:rsidRPr="003955E7" w:rsidRDefault="00774C25" w:rsidP="00332BC7">
            <w:pPr>
              <w:pStyle w:val="ListParagraph"/>
              <w:numPr>
                <w:ilvl w:val="0"/>
                <w:numId w:val="36"/>
              </w:numPr>
              <w:jc w:val="both"/>
              <w:rPr>
                <w:b/>
                <w:bCs/>
                <w:color w:val="000000" w:themeColor="text1" w:themeShade="BF"/>
              </w:rPr>
            </w:pPr>
            <w:r w:rsidRPr="003955E7">
              <w:rPr>
                <w:b/>
                <w:bCs/>
                <w:color w:val="000000" w:themeColor="text1" w:themeShade="BF"/>
              </w:rPr>
              <w:t>Events</w:t>
            </w:r>
            <w:r w:rsidR="00642D93" w:rsidRPr="003955E7">
              <w:rPr>
                <w:b/>
                <w:bCs/>
                <w:color w:val="000000" w:themeColor="text1" w:themeShade="BF"/>
              </w:rPr>
              <w:t xml:space="preserve"> have been considered in relation to equality, diversity and human rights for all target groups</w:t>
            </w:r>
          </w:p>
          <w:p w:rsidR="00642D93" w:rsidRPr="00774C25" w:rsidRDefault="00642D93" w:rsidP="00B92746">
            <w:pPr>
              <w:pStyle w:val="ListParagraph"/>
              <w:ind w:left="360"/>
              <w:jc w:val="both"/>
              <w:rPr>
                <w:b/>
                <w:bCs/>
                <w:color w:val="000000" w:themeColor="text1" w:themeShade="BF"/>
              </w:rPr>
            </w:pPr>
          </w:p>
        </w:tc>
        <w:tc>
          <w:tcPr>
            <w:tcW w:w="6095" w:type="dxa"/>
          </w:tcPr>
          <w:p w:rsidR="00642D93" w:rsidRDefault="00642D93" w:rsidP="003955E7">
            <w:pPr>
              <w:pStyle w:val="Default"/>
              <w:ind w:left="459" w:hanging="459"/>
              <w:jc w:val="both"/>
              <w:rPr>
                <w:sz w:val="18"/>
                <w:szCs w:val="18"/>
              </w:rPr>
            </w:pPr>
          </w:p>
          <w:p w:rsidR="00774C25" w:rsidRDefault="00774C25" w:rsidP="003955E7">
            <w:pPr>
              <w:pStyle w:val="Default"/>
              <w:numPr>
                <w:ilvl w:val="1"/>
                <w:numId w:val="21"/>
              </w:numPr>
              <w:ind w:left="459" w:hanging="4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Events</w:t>
            </w:r>
            <w:r w:rsidR="00642D93">
              <w:rPr>
                <w:sz w:val="18"/>
                <w:szCs w:val="18"/>
              </w:rPr>
              <w:t xml:space="preserve"> are compliant with the requirements of the Equality Act (2010) and anti-discrimination</w:t>
            </w:r>
            <w:r w:rsidR="003955E7">
              <w:rPr>
                <w:sz w:val="18"/>
                <w:szCs w:val="18"/>
              </w:rPr>
              <w:t xml:space="preserve"> legislation (Northern Ireland)</w:t>
            </w:r>
          </w:p>
          <w:p w:rsidR="00774C25" w:rsidRDefault="00774C25" w:rsidP="003955E7">
            <w:pPr>
              <w:pStyle w:val="Default"/>
              <w:numPr>
                <w:ilvl w:val="1"/>
                <w:numId w:val="21"/>
              </w:numPr>
              <w:ind w:left="459" w:hanging="459"/>
              <w:jc w:val="both"/>
              <w:rPr>
                <w:sz w:val="18"/>
                <w:szCs w:val="18"/>
              </w:rPr>
            </w:pPr>
            <w:r w:rsidRPr="00774C25">
              <w:rPr>
                <w:sz w:val="18"/>
                <w:szCs w:val="18"/>
              </w:rPr>
              <w:t>Approaches to enable equality of opportunity and access have been maximised</w:t>
            </w:r>
          </w:p>
          <w:p w:rsidR="003955E7" w:rsidRDefault="00774C25" w:rsidP="003955E7">
            <w:pPr>
              <w:pStyle w:val="Default"/>
              <w:numPr>
                <w:ilvl w:val="1"/>
                <w:numId w:val="21"/>
              </w:numPr>
              <w:ind w:left="459" w:hanging="459"/>
              <w:jc w:val="both"/>
              <w:rPr>
                <w:sz w:val="18"/>
                <w:szCs w:val="18"/>
              </w:rPr>
            </w:pPr>
            <w:r w:rsidRPr="00774C25">
              <w:rPr>
                <w:sz w:val="18"/>
                <w:szCs w:val="18"/>
              </w:rPr>
              <w:t>Approaches to support the implementation of human rights have been maximised</w:t>
            </w:r>
          </w:p>
          <w:p w:rsidR="00774C25" w:rsidRPr="003955E7" w:rsidRDefault="00774C25" w:rsidP="003955E7">
            <w:pPr>
              <w:pStyle w:val="Default"/>
              <w:numPr>
                <w:ilvl w:val="1"/>
                <w:numId w:val="21"/>
              </w:numPr>
              <w:ind w:left="459" w:hanging="459"/>
              <w:jc w:val="both"/>
              <w:rPr>
                <w:sz w:val="18"/>
                <w:szCs w:val="18"/>
              </w:rPr>
            </w:pPr>
            <w:r w:rsidRPr="003955E7">
              <w:rPr>
                <w:sz w:val="18"/>
                <w:szCs w:val="18"/>
              </w:rPr>
              <w:t xml:space="preserve">Innovative approaches to assure equality, diversity and human rights are developed and benchmarked </w:t>
            </w:r>
          </w:p>
          <w:p w:rsidR="00774C25" w:rsidRPr="00277A8E" w:rsidRDefault="00774C25" w:rsidP="00B92746">
            <w:pPr>
              <w:pStyle w:val="Default"/>
              <w:ind w:left="414"/>
              <w:jc w:val="both"/>
              <w:rPr>
                <w:sz w:val="18"/>
                <w:szCs w:val="18"/>
              </w:rPr>
            </w:pPr>
          </w:p>
        </w:tc>
      </w:tr>
      <w:tr w:rsidR="00774C25" w:rsidRPr="00277A8E" w:rsidTr="00B92746">
        <w:tc>
          <w:tcPr>
            <w:tcW w:w="2802" w:type="dxa"/>
            <w:shd w:val="clear" w:color="auto" w:fill="B8CCE4" w:themeFill="accent1" w:themeFillTint="66"/>
          </w:tcPr>
          <w:p w:rsidR="00774C25" w:rsidRPr="003955E7" w:rsidRDefault="00774C25" w:rsidP="003955E7">
            <w:pPr>
              <w:jc w:val="both"/>
              <w:rPr>
                <w:b/>
              </w:rPr>
            </w:pPr>
          </w:p>
          <w:p w:rsidR="00774C25" w:rsidRPr="00774C25" w:rsidRDefault="00774C25" w:rsidP="00774C25">
            <w:pPr>
              <w:jc w:val="both"/>
              <w:rPr>
                <w:b/>
              </w:rPr>
            </w:pPr>
          </w:p>
          <w:p w:rsidR="00774C25" w:rsidRPr="00774C25" w:rsidRDefault="00774C25" w:rsidP="00332BC7">
            <w:pPr>
              <w:pStyle w:val="ListParagraph"/>
              <w:numPr>
                <w:ilvl w:val="0"/>
                <w:numId w:val="36"/>
              </w:numPr>
              <w:jc w:val="both"/>
              <w:rPr>
                <w:b/>
              </w:rPr>
            </w:pPr>
            <w:r w:rsidRPr="00774C25">
              <w:rPr>
                <w:b/>
              </w:rPr>
              <w:t>Events are fit for purpose</w:t>
            </w:r>
          </w:p>
        </w:tc>
        <w:tc>
          <w:tcPr>
            <w:tcW w:w="6095" w:type="dxa"/>
          </w:tcPr>
          <w:p w:rsidR="00774C25" w:rsidRDefault="00774C25" w:rsidP="00774C25">
            <w:pPr>
              <w:pStyle w:val="Default"/>
              <w:ind w:left="459" w:hanging="317"/>
              <w:jc w:val="both"/>
              <w:rPr>
                <w:sz w:val="18"/>
                <w:szCs w:val="18"/>
              </w:rPr>
            </w:pPr>
          </w:p>
          <w:p w:rsidR="00774C25" w:rsidRDefault="00774C25" w:rsidP="003955E7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774C25" w:rsidRDefault="00774C25" w:rsidP="00774C25">
            <w:pPr>
              <w:pStyle w:val="Default"/>
              <w:ind w:left="459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Value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Events provide value for money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Events support individual/organisational change/development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6.3 Other relevant professional standards in existence that add value to the event have been identified and met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 Events meet customer/service requirements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</w:p>
          <w:p w:rsidR="00774C25" w:rsidRDefault="00774C25" w:rsidP="00774C25">
            <w:pPr>
              <w:pStyle w:val="Default"/>
              <w:ind w:left="459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Target Audience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 Target audience is clearly described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6.6 Market analysis of the target audience has been undertaken (where appropriate)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6.7 Content of the event is relevant and appropriate to the target audience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</w:p>
          <w:p w:rsidR="00774C25" w:rsidRDefault="00774C25" w:rsidP="00774C25">
            <w:pPr>
              <w:pStyle w:val="Default"/>
              <w:ind w:left="459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Aims and learning outcomes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6.8 Aims reflects the overall purpose of the event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6.9 Aims of learning and development activity are clearly described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6.10 Learning content is appropriate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6.11 Learning outcomes are explicit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6.12 Learning outcomes are measurable (where appropriate)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Assessment of learning</w:t>
            </w:r>
            <w:r>
              <w:rPr>
                <w:sz w:val="18"/>
                <w:szCs w:val="18"/>
              </w:rPr>
              <w:t xml:space="preserve">: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6.13 Assessment criteria is provided where appropriate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6.14 Assessment reflects the content of the event </w:t>
            </w: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</w:p>
          <w:p w:rsidR="00774C25" w:rsidRDefault="00774C25" w:rsidP="00774C25">
            <w:pPr>
              <w:pStyle w:val="Default"/>
              <w:ind w:left="459" w:hanging="317"/>
              <w:rPr>
                <w:sz w:val="18"/>
                <w:szCs w:val="18"/>
              </w:rPr>
            </w:pPr>
          </w:p>
        </w:tc>
      </w:tr>
      <w:tr w:rsidR="00774C25" w:rsidRPr="00277A8E" w:rsidTr="00B92746">
        <w:tc>
          <w:tcPr>
            <w:tcW w:w="2802" w:type="dxa"/>
            <w:shd w:val="clear" w:color="auto" w:fill="B8CCE4" w:themeFill="accent1" w:themeFillTint="66"/>
          </w:tcPr>
          <w:p w:rsidR="003955E7" w:rsidRDefault="003955E7" w:rsidP="003955E7">
            <w:pPr>
              <w:pStyle w:val="Default"/>
              <w:jc w:val="both"/>
              <w:rPr>
                <w:color w:val="auto"/>
              </w:rPr>
            </w:pPr>
          </w:p>
          <w:p w:rsidR="003955E7" w:rsidRDefault="003955E7" w:rsidP="00332BC7">
            <w:pPr>
              <w:pStyle w:val="Default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Events have been considered in relation to health and safety </w:t>
            </w:r>
          </w:p>
          <w:p w:rsidR="00774C25" w:rsidRDefault="00774C25" w:rsidP="00774C25">
            <w:pPr>
              <w:pStyle w:val="ListParagraph"/>
              <w:ind w:left="360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3955E7" w:rsidRDefault="003955E7" w:rsidP="003955E7">
            <w:pPr>
              <w:pStyle w:val="Default"/>
              <w:ind w:left="792"/>
              <w:rPr>
                <w:sz w:val="18"/>
                <w:szCs w:val="18"/>
              </w:rPr>
            </w:pPr>
          </w:p>
          <w:p w:rsidR="003955E7" w:rsidRDefault="003955E7" w:rsidP="003955E7">
            <w:pPr>
              <w:pStyle w:val="Default"/>
              <w:numPr>
                <w:ilvl w:val="1"/>
                <w:numId w:val="25"/>
              </w:numPr>
              <w:ind w:left="459" w:hanging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risk owner has been identified, and understands their responsibility for management of event risks </w:t>
            </w:r>
          </w:p>
          <w:p w:rsidR="003955E7" w:rsidRDefault="003955E7" w:rsidP="003955E7">
            <w:pPr>
              <w:pStyle w:val="Default"/>
              <w:numPr>
                <w:ilvl w:val="1"/>
                <w:numId w:val="25"/>
              </w:numPr>
              <w:ind w:left="459" w:hanging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Events are compliant with appropriate health and safety legislation </w:t>
            </w:r>
          </w:p>
          <w:p w:rsidR="003955E7" w:rsidRDefault="003955E7" w:rsidP="003955E7">
            <w:pPr>
              <w:pStyle w:val="Default"/>
              <w:numPr>
                <w:ilvl w:val="1"/>
                <w:numId w:val="25"/>
              </w:numPr>
              <w:ind w:left="459" w:hanging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is an effective mechanism in place for raising concerns </w:t>
            </w:r>
          </w:p>
          <w:p w:rsidR="00774C25" w:rsidRDefault="00774C25" w:rsidP="00774C25">
            <w:pPr>
              <w:pStyle w:val="Default"/>
              <w:ind w:left="459" w:hanging="317"/>
              <w:jc w:val="both"/>
              <w:rPr>
                <w:sz w:val="18"/>
                <w:szCs w:val="18"/>
              </w:rPr>
            </w:pPr>
          </w:p>
        </w:tc>
      </w:tr>
      <w:tr w:rsidR="00774C25" w:rsidRPr="00277A8E" w:rsidTr="00B92746">
        <w:trPr>
          <w:hidden/>
        </w:trPr>
        <w:tc>
          <w:tcPr>
            <w:tcW w:w="2802" w:type="dxa"/>
            <w:shd w:val="clear" w:color="auto" w:fill="B8CCE4" w:themeFill="accent1" w:themeFillTint="66"/>
          </w:tcPr>
          <w:p w:rsidR="00017677" w:rsidRPr="00017677" w:rsidRDefault="00017677" w:rsidP="000176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p w:rsidR="00017677" w:rsidRPr="00017677" w:rsidRDefault="00017677" w:rsidP="000176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p w:rsidR="00017677" w:rsidRPr="00017677" w:rsidRDefault="00017677" w:rsidP="000176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p w:rsidR="00017677" w:rsidRPr="00017677" w:rsidRDefault="00017677" w:rsidP="000176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p w:rsidR="00017677" w:rsidRPr="00017677" w:rsidRDefault="00017677" w:rsidP="000176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p w:rsidR="00017677" w:rsidRPr="00017677" w:rsidRDefault="00017677" w:rsidP="000176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p w:rsidR="00017677" w:rsidRPr="00017677" w:rsidRDefault="00017677" w:rsidP="000176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b/>
                <w:bCs/>
                <w:vanish/>
                <w:color w:val="000000"/>
                <w:sz w:val="20"/>
                <w:szCs w:val="20"/>
              </w:rPr>
            </w:pPr>
          </w:p>
          <w:p w:rsidR="003955E7" w:rsidRDefault="00017677" w:rsidP="00017677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Event</w:t>
            </w:r>
            <w:r w:rsidR="003955E7">
              <w:rPr>
                <w:b/>
                <w:bCs/>
                <w:sz w:val="20"/>
                <w:szCs w:val="20"/>
              </w:rPr>
              <w:t xml:space="preserve">s have been considered in relation to risk management </w:t>
            </w:r>
          </w:p>
          <w:p w:rsidR="00774C25" w:rsidRDefault="00774C25" w:rsidP="00774C25">
            <w:pPr>
              <w:pStyle w:val="ListParagraph"/>
              <w:ind w:left="360"/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017677" w:rsidRPr="00017677" w:rsidRDefault="00017677" w:rsidP="00017677">
            <w:pPr>
              <w:pStyle w:val="Default"/>
              <w:numPr>
                <w:ilvl w:val="1"/>
                <w:numId w:val="28"/>
              </w:numPr>
              <w:ind w:left="459"/>
              <w:jc w:val="both"/>
              <w:rPr>
                <w:sz w:val="18"/>
                <w:szCs w:val="18"/>
              </w:rPr>
            </w:pPr>
            <w:r w:rsidRPr="00017677">
              <w:rPr>
                <w:sz w:val="18"/>
                <w:szCs w:val="18"/>
              </w:rPr>
              <w:t xml:space="preserve">A risk management process is in place </w:t>
            </w:r>
          </w:p>
          <w:p w:rsidR="00017677" w:rsidRPr="00017677" w:rsidRDefault="00017677" w:rsidP="00017677">
            <w:pPr>
              <w:pStyle w:val="Default"/>
              <w:numPr>
                <w:ilvl w:val="1"/>
                <w:numId w:val="28"/>
              </w:numPr>
              <w:ind w:left="459"/>
              <w:jc w:val="both"/>
              <w:rPr>
                <w:sz w:val="18"/>
                <w:szCs w:val="18"/>
              </w:rPr>
            </w:pPr>
            <w:r w:rsidRPr="00017677">
              <w:rPr>
                <w:sz w:val="18"/>
                <w:szCs w:val="18"/>
              </w:rPr>
              <w:t xml:space="preserve">Mitigation of risks is evident in the development, implementation and evaluation of the </w:t>
            </w:r>
            <w:r>
              <w:rPr>
                <w:sz w:val="18"/>
                <w:szCs w:val="18"/>
              </w:rPr>
              <w:t>event</w:t>
            </w:r>
          </w:p>
          <w:p w:rsidR="00774C25" w:rsidRDefault="00017677" w:rsidP="00017677">
            <w:pPr>
              <w:pStyle w:val="Default"/>
              <w:numPr>
                <w:ilvl w:val="1"/>
                <w:numId w:val="28"/>
              </w:numPr>
              <w:ind w:left="459"/>
              <w:jc w:val="both"/>
              <w:rPr>
                <w:sz w:val="18"/>
                <w:szCs w:val="18"/>
              </w:rPr>
            </w:pPr>
            <w:r w:rsidRPr="00017677">
              <w:rPr>
                <w:sz w:val="18"/>
                <w:szCs w:val="18"/>
              </w:rPr>
              <w:t xml:space="preserve">An explicit route for users to provide feedback on the </w:t>
            </w:r>
            <w:r>
              <w:rPr>
                <w:sz w:val="18"/>
                <w:szCs w:val="18"/>
              </w:rPr>
              <w:t>event</w:t>
            </w:r>
            <w:r w:rsidRPr="00017677">
              <w:rPr>
                <w:sz w:val="18"/>
                <w:szCs w:val="18"/>
              </w:rPr>
              <w:t xml:space="preserve"> is in place</w:t>
            </w:r>
          </w:p>
        </w:tc>
      </w:tr>
    </w:tbl>
    <w:p w:rsidR="00642D93" w:rsidRPr="00194743" w:rsidRDefault="00642D93" w:rsidP="00194743">
      <w:pPr>
        <w:jc w:val="both"/>
        <w:rPr>
          <w:sz w:val="24"/>
          <w:szCs w:val="24"/>
        </w:rPr>
      </w:pPr>
    </w:p>
    <w:p w:rsidR="00774C25" w:rsidRDefault="00774C25" w:rsidP="00774C25">
      <w:pPr>
        <w:pStyle w:val="Default"/>
        <w:rPr>
          <w:color w:val="auto"/>
        </w:rPr>
      </w:pPr>
    </w:p>
    <w:p w:rsidR="00194743" w:rsidRDefault="00194743" w:rsidP="00017677">
      <w:pPr>
        <w:pStyle w:val="Default"/>
        <w:rPr>
          <w:sz w:val="18"/>
          <w:szCs w:val="18"/>
        </w:rPr>
      </w:pPr>
    </w:p>
    <w:p w:rsidR="00017677" w:rsidRDefault="00017677" w:rsidP="00017677">
      <w:pPr>
        <w:pStyle w:val="Default"/>
        <w:rPr>
          <w:sz w:val="18"/>
          <w:szCs w:val="18"/>
        </w:rPr>
      </w:pPr>
    </w:p>
    <w:p w:rsidR="00017677" w:rsidRDefault="00017677" w:rsidP="00017677">
      <w:pPr>
        <w:pStyle w:val="Default"/>
        <w:rPr>
          <w:sz w:val="18"/>
          <w:szCs w:val="18"/>
        </w:rPr>
      </w:pPr>
    </w:p>
    <w:p w:rsidR="00017677" w:rsidRDefault="00017677" w:rsidP="00017677">
      <w:pPr>
        <w:pStyle w:val="Default"/>
        <w:rPr>
          <w:sz w:val="18"/>
          <w:szCs w:val="18"/>
        </w:rPr>
      </w:pPr>
    </w:p>
    <w:p w:rsidR="00017677" w:rsidRDefault="00017677" w:rsidP="00017677">
      <w:pPr>
        <w:pStyle w:val="Default"/>
        <w:rPr>
          <w:sz w:val="18"/>
          <w:szCs w:val="18"/>
        </w:rPr>
      </w:pPr>
    </w:p>
    <w:p w:rsidR="00017677" w:rsidRDefault="00017677" w:rsidP="00017677">
      <w:pPr>
        <w:pStyle w:val="Default"/>
        <w:rPr>
          <w:sz w:val="18"/>
          <w:szCs w:val="18"/>
        </w:rPr>
      </w:pPr>
    </w:p>
    <w:p w:rsidR="00017677" w:rsidRDefault="00017677" w:rsidP="00017677">
      <w:pPr>
        <w:pStyle w:val="Default"/>
        <w:rPr>
          <w:sz w:val="18"/>
          <w:szCs w:val="18"/>
        </w:rPr>
      </w:pPr>
    </w:p>
    <w:p w:rsidR="003D2E50" w:rsidRPr="00D5397D" w:rsidRDefault="003D2E50" w:rsidP="00D5397D">
      <w:pPr>
        <w:rPr>
          <w:b/>
          <w:sz w:val="24"/>
          <w:szCs w:val="24"/>
        </w:rPr>
      </w:pPr>
    </w:p>
    <w:sectPr w:rsidR="003D2E50" w:rsidRPr="00D5397D" w:rsidSect="00DF7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97" w:rsidRPr="00017677" w:rsidRDefault="00895597" w:rsidP="00017677">
      <w:r>
        <w:separator/>
      </w:r>
    </w:p>
  </w:endnote>
  <w:endnote w:type="continuationSeparator" w:id="0">
    <w:p w:rsidR="00895597" w:rsidRPr="00017677" w:rsidRDefault="00895597" w:rsidP="0001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6A" w:rsidRDefault="00306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17" w:rsidRDefault="00823D15" w:rsidP="00823D15">
    <w:pPr>
      <w:pStyle w:val="Footer"/>
      <w:tabs>
        <w:tab w:val="clear" w:pos="9026"/>
        <w:tab w:val="right" w:pos="10065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Date prepared:      April 2014  </w:t>
    </w:r>
  </w:p>
  <w:p w:rsidR="00823D15" w:rsidRDefault="00BE2017" w:rsidP="00823D15">
    <w:pPr>
      <w:pStyle w:val="Footer"/>
      <w:tabs>
        <w:tab w:val="clear" w:pos="9026"/>
        <w:tab w:val="right" w:pos="10065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Date update:         June 2017</w:t>
    </w:r>
    <w:r w:rsidR="00823D15">
      <w:rPr>
        <w:rFonts w:cs="Arial"/>
        <w:sz w:val="16"/>
        <w:szCs w:val="16"/>
      </w:rPr>
      <w:t xml:space="preserve">                                                </w:t>
    </w:r>
  </w:p>
  <w:p w:rsidR="00823D15" w:rsidRDefault="00823D15" w:rsidP="00823D15">
    <w:pPr>
      <w:pStyle w:val="Footer"/>
      <w:tabs>
        <w:tab w:val="clear" w:pos="9026"/>
        <w:tab w:val="right" w:pos="10065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Date for review:    </w:t>
    </w:r>
    <w:r w:rsidR="00BE2017">
      <w:rPr>
        <w:rFonts w:cs="Arial"/>
        <w:sz w:val="16"/>
        <w:szCs w:val="16"/>
      </w:rPr>
      <w:t>June 2019</w:t>
    </w:r>
  </w:p>
  <w:p w:rsidR="00823D15" w:rsidRPr="00823D15" w:rsidRDefault="00823D15" w:rsidP="00823D15">
    <w:pPr>
      <w:pStyle w:val="Footer"/>
      <w:tabs>
        <w:tab w:val="clear" w:pos="9026"/>
        <w:tab w:val="right" w:pos="10065"/>
      </w:tabs>
      <w:rPr>
        <w:rFonts w:cs="Arial"/>
        <w:sz w:val="16"/>
        <w:szCs w:val="16"/>
      </w:rPr>
    </w:pPr>
    <w:r w:rsidRPr="00823D15">
      <w:rPr>
        <w:rFonts w:cs="Arial"/>
        <w:sz w:val="16"/>
        <w:szCs w:val="16"/>
      </w:rPr>
      <w:t xml:space="preserve">Developed from the RCN Quality Assurance Standards </w:t>
    </w:r>
    <w:r>
      <w:rPr>
        <w:rFonts w:cs="Arial"/>
        <w:sz w:val="16"/>
        <w:szCs w:val="16"/>
      </w:rPr>
      <w:t>for Development of RCN A</w:t>
    </w:r>
    <w:r w:rsidRPr="00823D15">
      <w:rPr>
        <w:rFonts w:cs="Arial"/>
        <w:sz w:val="16"/>
        <w:szCs w:val="16"/>
      </w:rPr>
      <w:t>ccredited Programmes and from the RPS Standards and Criteria for Accreditation</w:t>
    </w:r>
    <w:r>
      <w:rPr>
        <w:rFonts w:cs="Arial"/>
        <w:sz w:val="16"/>
        <w:szCs w:val="16"/>
      </w:rPr>
      <w:tab/>
    </w:r>
    <w:bookmarkStart w:id="0" w:name="_GoBack"/>
    <w:bookmarkEnd w:id="0"/>
    <w:r>
      <w:rPr>
        <w:rFonts w:cs="Arial"/>
        <w:sz w:val="16"/>
        <w:szCs w:val="16"/>
      </w:rPr>
      <w:tab/>
      <w:t xml:space="preserve">Page </w:t>
    </w:r>
    <w:r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PAGE </w:instrText>
    </w:r>
    <w:r>
      <w:rPr>
        <w:rFonts w:cs="Arial"/>
        <w:b/>
        <w:sz w:val="16"/>
        <w:szCs w:val="16"/>
      </w:rPr>
      <w:fldChar w:fldCharType="separate"/>
    </w:r>
    <w:r w:rsidR="00BE2017">
      <w:rPr>
        <w:rFonts w:cs="Arial"/>
        <w:b/>
        <w:noProof/>
        <w:sz w:val="16"/>
        <w:szCs w:val="16"/>
      </w:rPr>
      <w:t>1</w:t>
    </w:r>
    <w:r>
      <w:rPr>
        <w:rFonts w:cs="Arial"/>
        <w:b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NUMPAGES  </w:instrText>
    </w:r>
    <w:r>
      <w:rPr>
        <w:rFonts w:cs="Arial"/>
        <w:b/>
        <w:sz w:val="16"/>
        <w:szCs w:val="16"/>
      </w:rPr>
      <w:fldChar w:fldCharType="separate"/>
    </w:r>
    <w:r w:rsidR="00BE2017">
      <w:rPr>
        <w:rFonts w:cs="Arial"/>
        <w:b/>
        <w:noProof/>
        <w:sz w:val="16"/>
        <w:szCs w:val="16"/>
      </w:rPr>
      <w:t>5</w:t>
    </w:r>
    <w:r>
      <w:rPr>
        <w:rFonts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6A" w:rsidRDefault="00306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97" w:rsidRPr="00017677" w:rsidRDefault="00895597" w:rsidP="00017677">
      <w:r>
        <w:separator/>
      </w:r>
    </w:p>
  </w:footnote>
  <w:footnote w:type="continuationSeparator" w:id="0">
    <w:p w:rsidR="00895597" w:rsidRPr="00017677" w:rsidRDefault="00895597" w:rsidP="0001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6A" w:rsidRDefault="00306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6A" w:rsidRDefault="00306B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6A" w:rsidRDefault="00306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262"/>
    <w:multiLevelType w:val="hybridMultilevel"/>
    <w:tmpl w:val="BAB06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8B2"/>
    <w:multiLevelType w:val="hybridMultilevel"/>
    <w:tmpl w:val="82F46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5BB5"/>
    <w:multiLevelType w:val="multilevel"/>
    <w:tmpl w:val="15E448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B650F9"/>
    <w:multiLevelType w:val="multilevel"/>
    <w:tmpl w:val="E884C63A"/>
    <w:lvl w:ilvl="0">
      <w:start w:val="3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2A0DCE"/>
    <w:multiLevelType w:val="hybridMultilevel"/>
    <w:tmpl w:val="98461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76252"/>
    <w:multiLevelType w:val="hybridMultilevel"/>
    <w:tmpl w:val="68143ADC"/>
    <w:lvl w:ilvl="0" w:tplc="0809000F">
      <w:start w:val="1"/>
      <w:numFmt w:val="decimal"/>
      <w:lvlText w:val="%1."/>
      <w:lvlJc w:val="left"/>
      <w:pPr>
        <w:ind w:left="912" w:hanging="360"/>
      </w:p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>
    <w:nsid w:val="0DF81D41"/>
    <w:multiLevelType w:val="multilevel"/>
    <w:tmpl w:val="22964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D9577C"/>
    <w:multiLevelType w:val="multilevel"/>
    <w:tmpl w:val="20248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3DA352F"/>
    <w:multiLevelType w:val="multilevel"/>
    <w:tmpl w:val="EA32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390C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3651FE"/>
    <w:multiLevelType w:val="multilevel"/>
    <w:tmpl w:val="22964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43F4FFE"/>
    <w:multiLevelType w:val="multilevel"/>
    <w:tmpl w:val="806E93E8"/>
    <w:lvl w:ilvl="0">
      <w:start w:val="6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1B245C"/>
    <w:multiLevelType w:val="multilevel"/>
    <w:tmpl w:val="806E93E8"/>
    <w:lvl w:ilvl="0">
      <w:start w:val="6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54619FC"/>
    <w:multiLevelType w:val="multilevel"/>
    <w:tmpl w:val="ED8A7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1C72BB"/>
    <w:multiLevelType w:val="multilevel"/>
    <w:tmpl w:val="20248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BE64BE6"/>
    <w:multiLevelType w:val="hybridMultilevel"/>
    <w:tmpl w:val="D0BC7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06C80"/>
    <w:multiLevelType w:val="multilevel"/>
    <w:tmpl w:val="85405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E995A0C"/>
    <w:multiLevelType w:val="multilevel"/>
    <w:tmpl w:val="22964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1874991"/>
    <w:multiLevelType w:val="multilevel"/>
    <w:tmpl w:val="1FC2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4F495B"/>
    <w:multiLevelType w:val="multilevel"/>
    <w:tmpl w:val="EA32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8DE5E3E"/>
    <w:multiLevelType w:val="multilevel"/>
    <w:tmpl w:val="20248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1A0C98"/>
    <w:multiLevelType w:val="multilevel"/>
    <w:tmpl w:val="CDCC8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D216CB3"/>
    <w:multiLevelType w:val="hybridMultilevel"/>
    <w:tmpl w:val="B02286AA"/>
    <w:lvl w:ilvl="0" w:tplc="0809000F">
      <w:start w:val="1"/>
      <w:numFmt w:val="decimal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3">
    <w:nsid w:val="40E429F5"/>
    <w:multiLevelType w:val="multilevel"/>
    <w:tmpl w:val="7C3A1D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262D50"/>
    <w:multiLevelType w:val="multilevel"/>
    <w:tmpl w:val="FFF88C36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634E37"/>
    <w:multiLevelType w:val="multilevel"/>
    <w:tmpl w:val="653C0CF2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FD19AA"/>
    <w:multiLevelType w:val="multilevel"/>
    <w:tmpl w:val="CE029D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FC1651B"/>
    <w:multiLevelType w:val="multilevel"/>
    <w:tmpl w:val="85CA0E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3546CF"/>
    <w:multiLevelType w:val="multilevel"/>
    <w:tmpl w:val="7C3A1D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2024BC4"/>
    <w:multiLevelType w:val="hybridMultilevel"/>
    <w:tmpl w:val="C4AEE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906F1"/>
    <w:multiLevelType w:val="hybridMultilevel"/>
    <w:tmpl w:val="EDCC5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F3F3E"/>
    <w:multiLevelType w:val="hybridMultilevel"/>
    <w:tmpl w:val="C21E8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D0A58"/>
    <w:multiLevelType w:val="hybridMultilevel"/>
    <w:tmpl w:val="B66A91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2B2F6B"/>
    <w:multiLevelType w:val="multilevel"/>
    <w:tmpl w:val="ED8A7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EDD1FB8"/>
    <w:multiLevelType w:val="multilevel"/>
    <w:tmpl w:val="806E93E8"/>
    <w:lvl w:ilvl="0">
      <w:start w:val="6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53459A"/>
    <w:multiLevelType w:val="multilevel"/>
    <w:tmpl w:val="25FC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A92630"/>
    <w:multiLevelType w:val="hybridMultilevel"/>
    <w:tmpl w:val="75269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A030C"/>
    <w:multiLevelType w:val="multilevel"/>
    <w:tmpl w:val="85CA0E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23145D2"/>
    <w:multiLevelType w:val="multilevel"/>
    <w:tmpl w:val="7C3A1D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30A556B"/>
    <w:multiLevelType w:val="multilevel"/>
    <w:tmpl w:val="F7089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4BC4903"/>
    <w:multiLevelType w:val="multilevel"/>
    <w:tmpl w:val="25FC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7EA4BCC"/>
    <w:multiLevelType w:val="multilevel"/>
    <w:tmpl w:val="EA32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EBC6966"/>
    <w:multiLevelType w:val="multilevel"/>
    <w:tmpl w:val="BB30C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0791B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4466B39"/>
    <w:multiLevelType w:val="multilevel"/>
    <w:tmpl w:val="CE0AF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6C7791C"/>
    <w:multiLevelType w:val="multilevel"/>
    <w:tmpl w:val="F7089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FA237DF"/>
    <w:multiLevelType w:val="multilevel"/>
    <w:tmpl w:val="4F5CCC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29"/>
  </w:num>
  <w:num w:numId="5">
    <w:abstractNumId w:val="22"/>
  </w:num>
  <w:num w:numId="6">
    <w:abstractNumId w:val="1"/>
  </w:num>
  <w:num w:numId="7">
    <w:abstractNumId w:val="31"/>
  </w:num>
  <w:num w:numId="8">
    <w:abstractNumId w:val="5"/>
  </w:num>
  <w:num w:numId="9">
    <w:abstractNumId w:val="30"/>
  </w:num>
  <w:num w:numId="10">
    <w:abstractNumId w:val="40"/>
  </w:num>
  <w:num w:numId="11">
    <w:abstractNumId w:val="6"/>
  </w:num>
  <w:num w:numId="12">
    <w:abstractNumId w:val="26"/>
  </w:num>
  <w:num w:numId="13">
    <w:abstractNumId w:val="23"/>
  </w:num>
  <w:num w:numId="14">
    <w:abstractNumId w:val="7"/>
  </w:num>
  <w:num w:numId="15">
    <w:abstractNumId w:val="43"/>
  </w:num>
  <w:num w:numId="16">
    <w:abstractNumId w:val="16"/>
  </w:num>
  <w:num w:numId="17">
    <w:abstractNumId w:val="41"/>
  </w:num>
  <w:num w:numId="18">
    <w:abstractNumId w:val="27"/>
  </w:num>
  <w:num w:numId="19">
    <w:abstractNumId w:val="33"/>
  </w:num>
  <w:num w:numId="20">
    <w:abstractNumId w:val="32"/>
  </w:num>
  <w:num w:numId="21">
    <w:abstractNumId w:val="8"/>
  </w:num>
  <w:num w:numId="22">
    <w:abstractNumId w:val="13"/>
  </w:num>
  <w:num w:numId="23">
    <w:abstractNumId w:val="9"/>
  </w:num>
  <w:num w:numId="24">
    <w:abstractNumId w:val="37"/>
  </w:num>
  <w:num w:numId="25">
    <w:abstractNumId w:val="12"/>
  </w:num>
  <w:num w:numId="26">
    <w:abstractNumId w:val="34"/>
  </w:num>
  <w:num w:numId="27">
    <w:abstractNumId w:val="21"/>
  </w:num>
  <w:num w:numId="28">
    <w:abstractNumId w:val="39"/>
  </w:num>
  <w:num w:numId="29">
    <w:abstractNumId w:val="36"/>
  </w:num>
  <w:num w:numId="30">
    <w:abstractNumId w:val="4"/>
  </w:num>
  <w:num w:numId="31">
    <w:abstractNumId w:val="2"/>
  </w:num>
  <w:num w:numId="32">
    <w:abstractNumId w:val="46"/>
  </w:num>
  <w:num w:numId="33">
    <w:abstractNumId w:val="24"/>
  </w:num>
  <w:num w:numId="34">
    <w:abstractNumId w:val="25"/>
  </w:num>
  <w:num w:numId="35">
    <w:abstractNumId w:val="44"/>
  </w:num>
  <w:num w:numId="36">
    <w:abstractNumId w:val="35"/>
  </w:num>
  <w:num w:numId="37">
    <w:abstractNumId w:val="17"/>
  </w:num>
  <w:num w:numId="38">
    <w:abstractNumId w:val="23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42"/>
  </w:num>
  <w:num w:numId="40">
    <w:abstractNumId w:val="38"/>
  </w:num>
  <w:num w:numId="41">
    <w:abstractNumId w:val="7"/>
    <w:lvlOverride w:ilvl="0">
      <w:lvl w:ilvl="0">
        <w:start w:val="1"/>
        <w:numFmt w:val="none"/>
        <w:lvlText w:val="4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3"/>
  </w:num>
  <w:num w:numId="43">
    <w:abstractNumId w:val="2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  <w:b/>
          <w:color w:val="auto"/>
          <w:sz w:val="18"/>
          <w:szCs w:val="18"/>
        </w:rPr>
      </w:lvl>
    </w:lvlOverride>
    <w:lvlOverride w:ilvl="1">
      <w:lvl w:ilvl="1">
        <w:start w:val="1"/>
        <w:numFmt w:val="decimal"/>
        <w:lvlText w:val="%12.1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1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1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1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1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10"/>
  </w:num>
  <w:num w:numId="45">
    <w:abstractNumId w:val="28"/>
  </w:num>
  <w:num w:numId="46">
    <w:abstractNumId w:val="14"/>
  </w:num>
  <w:num w:numId="47">
    <w:abstractNumId w:val="20"/>
  </w:num>
  <w:num w:numId="48">
    <w:abstractNumId w:val="19"/>
  </w:num>
  <w:num w:numId="49">
    <w:abstractNumId w:val="1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E1"/>
    <w:rsid w:val="00017677"/>
    <w:rsid w:val="000F513B"/>
    <w:rsid w:val="001338D1"/>
    <w:rsid w:val="00177291"/>
    <w:rsid w:val="00186BB2"/>
    <w:rsid w:val="00194743"/>
    <w:rsid w:val="001A19BD"/>
    <w:rsid w:val="00277A8E"/>
    <w:rsid w:val="002C0324"/>
    <w:rsid w:val="00306B6A"/>
    <w:rsid w:val="00323B8A"/>
    <w:rsid w:val="00332BC7"/>
    <w:rsid w:val="00383C5E"/>
    <w:rsid w:val="003955E7"/>
    <w:rsid w:val="00397B84"/>
    <w:rsid w:val="003D2E50"/>
    <w:rsid w:val="00465E9D"/>
    <w:rsid w:val="004E53E7"/>
    <w:rsid w:val="00642D93"/>
    <w:rsid w:val="00774C25"/>
    <w:rsid w:val="00823D15"/>
    <w:rsid w:val="00831741"/>
    <w:rsid w:val="00845A44"/>
    <w:rsid w:val="00860169"/>
    <w:rsid w:val="00890A05"/>
    <w:rsid w:val="00892CBA"/>
    <w:rsid w:val="00895597"/>
    <w:rsid w:val="008C18E1"/>
    <w:rsid w:val="008D28F2"/>
    <w:rsid w:val="008F1C9E"/>
    <w:rsid w:val="009B50D0"/>
    <w:rsid w:val="00AF4C3E"/>
    <w:rsid w:val="00B051E5"/>
    <w:rsid w:val="00B4308F"/>
    <w:rsid w:val="00BE2017"/>
    <w:rsid w:val="00C25425"/>
    <w:rsid w:val="00D40C52"/>
    <w:rsid w:val="00D5397D"/>
    <w:rsid w:val="00D664C7"/>
    <w:rsid w:val="00DF76EF"/>
    <w:rsid w:val="00E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24"/>
    <w:rPr>
      <w:rFonts w:ascii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E1"/>
    <w:pPr>
      <w:ind w:left="720"/>
      <w:contextualSpacing/>
    </w:pPr>
  </w:style>
  <w:style w:type="table" w:styleId="TableGrid">
    <w:name w:val="Table Grid"/>
    <w:basedOn w:val="TableNormal"/>
    <w:rsid w:val="0019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9474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277A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ColorfulShading-Accent1">
    <w:name w:val="Colorful Shading Accent 1"/>
    <w:basedOn w:val="TableNormal"/>
    <w:uiPriority w:val="71"/>
    <w:rsid w:val="00642D9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rsid w:val="00017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677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017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677"/>
    <w:rPr>
      <w:rFonts w:ascii="Arial" w:hAnsi="Arial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32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3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24"/>
    <w:rPr>
      <w:rFonts w:ascii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E1"/>
    <w:pPr>
      <w:ind w:left="720"/>
      <w:contextualSpacing/>
    </w:pPr>
  </w:style>
  <w:style w:type="table" w:styleId="TableGrid">
    <w:name w:val="Table Grid"/>
    <w:basedOn w:val="TableNormal"/>
    <w:rsid w:val="0019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9474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277A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ColorfulShading-Accent1">
    <w:name w:val="Colorful Shading Accent 1"/>
    <w:basedOn w:val="TableNormal"/>
    <w:uiPriority w:val="71"/>
    <w:rsid w:val="00642D9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rsid w:val="00017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677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017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677"/>
    <w:rPr>
      <w:rFonts w:ascii="Arial" w:hAnsi="Arial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32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3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934C0-D35B-4A88-8E89-3346DD46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Health Board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ju046720</dc:creator>
  <cp:lastModifiedBy>Horn Carole</cp:lastModifiedBy>
  <cp:revision>3</cp:revision>
  <dcterms:created xsi:type="dcterms:W3CDTF">2017-06-21T13:09:00Z</dcterms:created>
  <dcterms:modified xsi:type="dcterms:W3CDTF">2017-06-21T13:09:00Z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inDIP File ID">
    <vt:lpwstr>37e01200-f580-4aac-b71d-e139f70b5a04</vt:lpwstr>
  </property>
</Properties>
</file>